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spacing w:line="288" w:lineRule="auto"/>
        <w:jc w:val="center"/>
        <w:rPr>
          <w:rFonts w:ascii="Cambria" w:hAnsi="Cambria"/>
          <w:b w:val="1"/>
          <w:bCs w:val="1"/>
        </w:rPr>
      </w:pPr>
    </w:p>
    <w:p>
      <w:pPr>
        <w:pStyle w:val="Body A"/>
        <w:spacing w:line="288" w:lineRule="auto"/>
        <w:jc w:val="right"/>
        <w:rPr>
          <w:rFonts w:ascii="Cambria" w:cs="Cambria" w:hAnsi="Cambria" w:eastAsia="Cambria"/>
          <w:b w:val="1"/>
          <w:bCs w:val="1"/>
          <w:outline w:val="0"/>
          <w:color w:val="942192"/>
          <w:u w:color="ff2600"/>
          <w14:textFill>
            <w14:solidFill>
              <w14:srgbClr w14:val="942192"/>
            </w14:solidFill>
          </w14:textFill>
        </w:rPr>
      </w:pPr>
      <w:r>
        <w:rPr>
          <w:rFonts w:ascii="Cambria" w:hAnsi="Cambria"/>
          <w:b w:val="1"/>
          <w:bCs w:val="1"/>
          <w:outline w:val="0"/>
          <w:color w:val="942192"/>
          <w:u w:color="ff2600"/>
          <w:rtl w:val="0"/>
          <w:lang w:val="en-US"/>
          <w14:textFill>
            <w14:solidFill>
              <w14:srgbClr w14:val="942192"/>
            </w14:solidFill>
          </w14:textFill>
        </w:rPr>
        <w:t>FINALNI  NACRT</w:t>
      </w:r>
    </w:p>
    <w:p>
      <w:pPr>
        <w:pStyle w:val="Body A"/>
        <w:spacing w:line="288" w:lineRule="auto"/>
        <w:jc w:val="right"/>
        <w:rPr>
          <w:b w:val="1"/>
          <w:bCs w:val="1"/>
          <w:outline w:val="0"/>
          <w:color w:val="ff2600"/>
          <w:u w:val="none" w:color="ff2600"/>
          <w14:textFill>
            <w14:solidFill>
              <w14:srgbClr w14:val="FF2600"/>
            </w14:solidFill>
          </w14:textFill>
        </w:rPr>
      </w:pPr>
      <w:r>
        <w:rPr>
          <w:rFonts w:ascii="Cambria" w:hAnsi="Cambria"/>
          <w:b w:val="1"/>
          <w:bCs w:val="1"/>
          <w:outline w:val="0"/>
          <w:color w:val="942192"/>
          <w:u w:color="ff2600"/>
          <w:rtl w:val="0"/>
          <w:lang w:val="en-US"/>
          <w14:textFill>
            <w14:solidFill>
              <w14:srgbClr w14:val="942192"/>
            </w14:solidFill>
          </w14:textFill>
        </w:rPr>
        <w:t xml:space="preserve">31. AVGUST 2021. GODINE </w:t>
      </w:r>
    </w:p>
    <w:p>
      <w:pPr>
        <w:pStyle w:val="Body A"/>
        <w:spacing w:line="288" w:lineRule="auto"/>
        <w:jc w:val="center"/>
        <w:rPr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AKCIONI PLAN ZA UNAPRE</w:t>
      </w:r>
      <w:r>
        <w:rPr>
          <w:rFonts w:ascii="Cambria" w:hAnsi="Cambria" w:hint="default"/>
          <w:b w:val="1"/>
          <w:bCs w:val="1"/>
          <w:rtl w:val="0"/>
          <w:lang w:val="en-US"/>
        </w:rPr>
        <w:t>Đ</w:t>
      </w:r>
      <w:r>
        <w:rPr>
          <w:rFonts w:ascii="Cambria" w:hAnsi="Cambria"/>
          <w:b w:val="1"/>
          <w:bCs w:val="1"/>
          <w:rtl w:val="0"/>
          <w:lang w:val="en-US"/>
        </w:rPr>
        <w:t xml:space="preserve">ENJE SOCIJALNIH USLUGA </w:t>
      </w: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OP</w:t>
      </w:r>
      <w:r>
        <w:rPr>
          <w:rFonts w:ascii="Cambria" w:hAnsi="Cambria" w:hint="default"/>
          <w:b w:val="1"/>
          <w:bCs w:val="1"/>
          <w:rtl w:val="0"/>
          <w:lang w:val="en-US"/>
        </w:rPr>
        <w:t>Š</w:t>
      </w:r>
      <w:r>
        <w:rPr>
          <w:rFonts w:ascii="Cambria" w:hAnsi="Cambria"/>
          <w:b w:val="1"/>
          <w:bCs w:val="1"/>
          <w:rtl w:val="0"/>
          <w:lang w:val="de-DE"/>
        </w:rPr>
        <w:t xml:space="preserve">TINE BUJANOVAC </w:t>
      </w: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 xml:space="preserve">za period od oktobra 2021. do dedembra 2022. godine </w:t>
      </w: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Uvodne napomene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</w:pPr>
      <w:r>
        <w:rPr>
          <w:rFonts w:ascii="Cambria" w:cs="Cambria" w:hAnsi="Cambria" w:eastAsia="Cambria"/>
          <w:rtl w:val="0"/>
        </w:rPr>
        <w:tab/>
        <w:t>Akcioni plan za unapre</w:t>
      </w:r>
      <w:r>
        <w:rPr>
          <w:rFonts w:ascii="Cambria" w:hAnsi="Cambria" w:hint="default"/>
          <w:rtl w:val="0"/>
          <w:lang w:val="en-US"/>
        </w:rPr>
        <w:t>đ</w:t>
      </w:r>
      <w:r>
        <w:rPr>
          <w:rFonts w:ascii="Cambria" w:hAnsi="Cambria"/>
          <w:rtl w:val="0"/>
          <w:lang w:val="en-US"/>
        </w:rPr>
        <w:t>enje socijalnih usluga op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tine Bujanovac (u daljem tekstu: Akcioni plan) razvijen je u okviru </w:t>
      </w:r>
      <w:r>
        <w:rPr>
          <w:rtl w:val="0"/>
          <w:lang w:val="en-US"/>
        </w:rPr>
        <w:t>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anja mentorske 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ke savetodavnim telima u procesu izrade lokalnih planskih dokumenata za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tine Vranje, Lebane i Bujanovac.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ka je deo projekta "Amplifying Local Voices for Equitable Development</w:t>
      </w:r>
      <w:r>
        <w:rPr>
          <w:rtl w:val="0"/>
          <w:lang w:val="en-US"/>
        </w:rPr>
        <w:t>”</w:t>
      </w:r>
      <w:r>
        <w:rPr>
          <w:rtl w:val="0"/>
          <w:lang w:val="en-US"/>
        </w:rPr>
        <w:t xml:space="preserve">, koji sprovodi konzorcijum u kojem je 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  <w:lang w:val="en-US"/>
        </w:rPr>
        <w:t>People in Need</w:t>
      </w:r>
      <w:r>
        <w:rPr>
          <w:rtl w:val="0"/>
          <w:lang w:val="en-US"/>
        </w:rPr>
        <w:t xml:space="preserve">” </w:t>
      </w:r>
      <w:r>
        <w:rPr>
          <w:rtl w:val="0"/>
          <w:lang w:val="en-US"/>
        </w:rPr>
        <w:t>vode</w:t>
      </w:r>
      <w:r>
        <w:rPr>
          <w:rtl w:val="0"/>
          <w:lang w:val="en-US"/>
        </w:rPr>
        <w:t>ć</w:t>
      </w:r>
      <w:r>
        <w:rPr>
          <w:rtl w:val="0"/>
          <w:lang w:val="pt-PT"/>
        </w:rPr>
        <w:t>a organiz</w:t>
      </w:r>
      <w:r>
        <w:rPr>
          <w:rtl w:val="0"/>
          <w:lang w:val="en-US"/>
        </w:rPr>
        <w:t>acija, a Udru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enje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ana za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ansko obrazovanje </w:t>
      </w:r>
      <w:r>
        <w:rPr>
          <w:rtl w:val="0"/>
          <w:lang w:val="en-US"/>
        </w:rPr>
        <w:t>„</w:t>
      </w:r>
      <w:r>
        <w:rPr>
          <w:rtl w:val="0"/>
          <w:lang w:val="en-US"/>
        </w:rPr>
        <w:t>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anske inicijative</w:t>
      </w:r>
      <w:r>
        <w:rPr>
          <w:rtl w:val="0"/>
          <w:lang w:val="de-DE"/>
        </w:rPr>
        <w:t xml:space="preserve">“ </w:t>
      </w:r>
      <w:r>
        <w:rPr>
          <w:rtl w:val="0"/>
          <w:lang w:val="en-US"/>
        </w:rPr>
        <w:t>iz Beograda, partner.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Svrha projekta je 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ka 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avnim organima i javnim slu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bama u uvo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enju i testiranju modaliteta za kvalitetniji pristup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ana socijalnim uslugama </w:t>
      </w:r>
      <w:r>
        <w:rPr>
          <w:rtl w:val="0"/>
          <w:lang w:val="it-IT"/>
        </w:rPr>
        <w:t>i prevazi</w:t>
      </w:r>
      <w:r>
        <w:rPr>
          <w:rtl w:val="0"/>
          <w:lang w:val="en-US"/>
        </w:rPr>
        <w:t>la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enju prepreka za inkluziju oseljivih grupa u etni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ki me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ovitim sredinama.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Zakonski okvir za razvoj Akcionog plana i projektni izazovi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Akcioni plan je razvijen u skladu sa pozitivnim propisima Republike Srbije, kao i na osnovu potreba gra</w:t>
      </w:r>
      <w:r>
        <w:rPr>
          <w:rtl w:val="0"/>
          <w:lang w:val="en-US"/>
        </w:rPr>
        <w:t>đ</w:t>
      </w:r>
      <w:r>
        <w:rPr>
          <w:rtl w:val="0"/>
          <w:lang w:val="it-IT"/>
        </w:rPr>
        <w:t xml:space="preserve">ana </w:t>
      </w:r>
      <w:r>
        <w:rPr>
          <w:rtl w:val="0"/>
          <w:lang w:val="en-US"/>
        </w:rPr>
        <w:t xml:space="preserve">Bujanovca. Pravni osnov za razvoj Akcionog plana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ine Zakon o lokalnoj samoupravi,</w:t>
      </w:r>
      <w:r>
        <w:rPr>
          <w:vertAlign w:val="superscript"/>
          <w:lang w:val="en-US"/>
        </w:rPr>
        <w:footnoteReference w:id="1"/>
      </w:r>
      <w:r>
        <w:rPr>
          <w:rtl w:val="0"/>
          <w:lang w:val="nl-NL"/>
        </w:rPr>
        <w:t xml:space="preserve"> Statut Op</w:t>
      </w:r>
      <w:r>
        <w:rPr>
          <w:rtl w:val="0"/>
          <w:lang w:val="en-US"/>
        </w:rPr>
        <w:t>š</w:t>
      </w:r>
      <w:r>
        <w:rPr>
          <w:rtl w:val="0"/>
          <w:lang w:val="de-DE"/>
        </w:rPr>
        <w:t>tine Bujanovac,</w:t>
      </w:r>
      <w:r>
        <w:rPr>
          <w:vertAlign w:val="superscript"/>
          <w:lang w:val="en-US"/>
        </w:rPr>
        <w:footnoteReference w:id="2"/>
      </w:r>
      <w:r>
        <w:rPr>
          <w:rtl w:val="0"/>
          <w:lang w:val="en-US"/>
        </w:rPr>
        <w:t xml:space="preserve"> Odluka o pravima iz oblasti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na teritoriji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tine Bujanovac</w:t>
      </w:r>
      <w:r>
        <w:rPr>
          <w:vertAlign w:val="superscript"/>
          <w:lang w:val="en-US"/>
        </w:rPr>
        <w:footnoteReference w:id="3"/>
      </w:r>
      <w:r>
        <w:rPr>
          <w:rtl w:val="0"/>
          <w:lang w:val="en-US"/>
        </w:rPr>
        <w:t>; Zakon o socijalnoj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titi</w:t>
      </w:r>
      <w:r>
        <w:rPr>
          <w:vertAlign w:val="superscript"/>
          <w:lang w:val="en-US"/>
        </w:rPr>
        <w:footnoteReference w:id="4"/>
      </w:r>
      <w:r>
        <w:rPr>
          <w:rtl w:val="0"/>
          <w:lang w:val="en-US"/>
        </w:rPr>
        <w:t>,  kao i Zakon o planskom sisemu Republike Srbije.</w:t>
      </w:r>
      <w:r>
        <w:rPr>
          <w:vertAlign w:val="superscript"/>
          <w:lang w:val="en-US"/>
        </w:rPr>
        <w:footnoteReference w:id="5"/>
      </w:r>
      <w:r>
        <w:rPr>
          <w:rtl w:val="0"/>
          <w:lang w:val="en-US"/>
        </w:rPr>
        <w:t xml:space="preserve">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Akcioni plan je razvijen u skladu sa 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elima upravljanja sistemom javnih politika iz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lana 3. Zakona o planskom sistemu Republike Srbije.  Neophodno je ista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i da projektni okvir u kojem se razvija Akcioni plan, implicira izazove u pogledu odnosnih odredaba ovog zakona.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 xml:space="preserve">Prema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lanu 4. Zakona o planskom sistemu Republike Srbije, planski dokument jeste akt kojim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esnik u planskom sistemu postavlja ciljeve,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uje prioritete javnih politika, odnosno planira mere i aktivnosti za njihovo dostizanje, u okvirima svojih nadle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 xml:space="preserve">nosti i u vezi sa svojim funkcionisanjem; a vrste planskih dokumenata su: 1) dokumenti razvojnog planiranja; 2) dokumenti javnih politika, i 3) ostali planski dokumenti.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 xml:space="preserve">Prema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lanu 10. istog zakona, dokument javnih politika jeste planski dokument kojim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esnici u planskom sistemu, u skladu sa svojim nadle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nostima,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ili razra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ve</w:t>
      </w:r>
      <w:r>
        <w:rPr>
          <w:rtl w:val="0"/>
          <w:lang w:val="en-US"/>
        </w:rPr>
        <w:t xml:space="preserve">ć </w:t>
      </w:r>
      <w:r>
        <w:rPr>
          <w:rtl w:val="0"/>
          <w:lang w:val="en-US"/>
        </w:rPr>
        <w:t>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ene javne politike; a vrste dokumenata javnih politika jesu:1) strategija; 2) program; 3) koncept politike, i 4) akcioni plan.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 xml:space="preserve">Prema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lanu 11. stavu 1. istog zakona, strategija jeste osnovni dokument javne politike, kojim se na celovit 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strate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ki pravac delovanja i javne politike u konkretnoj oblasti planiranja i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javnih politika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enih propisom Vlade.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 xml:space="preserve">Prema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lanu 12. st. 1. i 2. istog zakona, strategija po obuhvatu mo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 biti: 1) sektorska, ako se njom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javne politike za celokupnu oblast planiranja i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javnih politika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enih propisom Vlade, i 2)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usektorska, ako se njom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javne politike za vi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 oblasti planiranja i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javnih politika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enih propisom Vlade; a po prostornom obuhvatu mo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 biti: 1) nacionalna, ako pokriva celu teritoriju Republike Srbije, i 2) subnacionalna, ako pokriva deo teritorije Republike Srbije, odnosno administrativno povezanu celinu na teritoriji Republike Srbije ili podru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ja koja nisu geografski odnosno administrativno povezana, ali se u odnosu na njih usvaja zajedni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ka strategija, zbog odre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enih istovetnih svojstava tih podru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ja.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 xml:space="preserve">Prema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lanu 18. st. 1. i 2. istog zakona, akcioni plan je dokument javne politike najvi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eg nivoa detaljnosti, kojim se razra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strategija ili program, u cilju upravljanja dinamikom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mera javnih politika koje doprinose ostvarivanju posebnih ciljeva strategije, odnosno programa; i dodatno, akcioni plan je sastavni deo strategije i programa i po pravilu se usvaja istovremeno sa tim dokumentima javnih politika.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 xml:space="preserve">Prema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lanu 19. stav 1. istog zakona, akcioni plan obavezno sadr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 slede</w:t>
      </w:r>
      <w:r>
        <w:rPr>
          <w:rtl w:val="0"/>
          <w:lang w:val="en-US"/>
        </w:rPr>
        <w:t>ć</w:t>
      </w:r>
      <w:r>
        <w:rPr>
          <w:rtl w:val="0"/>
          <w:lang w:val="es-ES_tradnl"/>
        </w:rPr>
        <w:t>e elemente:</w:t>
      </w:r>
      <w:r>
        <w:rPr>
          <w:rtl w:val="0"/>
          <w:lang w:val="en-US"/>
        </w:rPr>
        <w:t xml:space="preserve"> 1)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te i posebne ciljeve preuzete iz strategije, odnosno programa koji razra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uje; 2) mere i aktivnosti za postizanje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tih i posebnih ciljeva strategije, odnosno programa, uz navo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enje projekata ako se mere i/ili aktivnosti sprovode kroz projekte; 3) institucije partnere odgovorne za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enje mera i aktivnosti, kao i instituciju nosioca koja je odgovorna za pra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enje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i izve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tavanje o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enju strategije, odnosno programa koji akcioni plan razra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uje; 4) rok za zavr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etak predvi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enih mera i aktivnosti; 5) potrebna sredstva za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enje mera, uz navo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enje izvora finansiranja za obezbe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ena sredstva; 6) pokazatelje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inaka na nivou mera javnih politika, a po potrebi i na nivou aktivnosti; 7) informacije o propisima koje bi trebalo doneti odnosno izmeniti kako bi se realizovale mere javne politike; 8) druge elemente propisane podzakonskim aktom Vlade.</w:t>
      </w:r>
    </w:p>
    <w:p>
      <w:pPr>
        <w:pStyle w:val="Body A"/>
        <w:spacing w:line="288" w:lineRule="auto"/>
        <w:jc w:val="both"/>
      </w:pPr>
      <w:r>
        <w:tab/>
      </w:r>
    </w:p>
    <w:p>
      <w:pPr>
        <w:pStyle w:val="Body A"/>
        <w:spacing w:line="288" w:lineRule="auto"/>
        <w:jc w:val="both"/>
      </w:pPr>
      <w:r>
        <w:rPr>
          <w:rtl w:val="0"/>
        </w:rPr>
        <w:tab/>
        <w:t>Akcioni plan u metodolo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kom smislu nije mogao u potpunosti da ispuni zahteve Zakona o planskom sistemu Republike Srbije, kao ni zahteve iz Uredbe o metodologiji upravljanja javnim politikama, analizi efekata javnih politika i propisa i sadr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aju pojedina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nih dokumenata javnih politika</w:t>
      </w:r>
      <w:r>
        <w:rPr>
          <w:rStyle w:val="Footnote Anchor"/>
        </w:rPr>
        <w:footnoteReference w:id="6"/>
      </w:r>
      <w:r>
        <w:rPr>
          <w:rtl w:val="0"/>
          <w:lang w:val="en-US"/>
        </w:rPr>
        <w:t>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 xml:space="preserve">U skladu sa predmetnim propisima o planiranju, Akcionom planu je trebalo da prethodi </w:t>
      </w:r>
      <w:r>
        <w:rPr>
          <w:i w:val="1"/>
          <w:iCs w:val="1"/>
          <w:rtl w:val="0"/>
          <w:lang w:val="fr-FR"/>
        </w:rPr>
        <w:t>Ex post</w:t>
      </w:r>
      <w:r>
        <w:rPr>
          <w:rtl w:val="0"/>
          <w:lang w:val="en-US"/>
        </w:rPr>
        <w:t xml:space="preserve"> analiza odnosno </w:t>
      </w:r>
      <w:r>
        <w:rPr>
          <w:i w:val="1"/>
          <w:iCs w:val="1"/>
          <w:rtl w:val="0"/>
          <w:lang w:val="fr-FR"/>
        </w:rPr>
        <w:t>Ex ante</w:t>
      </w:r>
      <w:r>
        <w:rPr>
          <w:rtl w:val="0"/>
          <w:lang w:val="en-US"/>
        </w:rPr>
        <w:t xml:space="preserve"> analiza, za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 nije bilo mogu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 xml:space="preserve">nosti u konkretnom projektnom okviru.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lang w:val="en-US"/>
        </w:rPr>
        <w:tab/>
      </w:r>
      <w:r>
        <w:rPr>
          <w:i w:val="1"/>
          <w:iCs w:val="1"/>
          <w:rtl w:val="0"/>
          <w:lang w:val="fr-FR"/>
        </w:rPr>
        <w:t>Ex ante</w:t>
      </w:r>
      <w:r>
        <w:rPr>
          <w:rtl w:val="0"/>
          <w:lang w:val="en-US"/>
        </w:rPr>
        <w:t xml:space="preserve"> analiza efekata sprovodi se tokom planiranja, formulisanja i usvajanja javnih politika i propisa u cilju sagledavanja promene koju treba posti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 xml:space="preserve">i. S druge strane, </w:t>
      </w:r>
      <w:r>
        <w:rPr>
          <w:i w:val="1"/>
          <w:iCs w:val="1"/>
          <w:rtl w:val="0"/>
          <w:lang w:val="fr-FR"/>
        </w:rPr>
        <w:t>ex post</w:t>
      </w:r>
      <w:r>
        <w:rPr>
          <w:rtl w:val="0"/>
          <w:lang w:val="en-US"/>
        </w:rPr>
        <w:t xml:space="preserve"> analiza realizuje se nakon usvajanja i tokom sprovo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javnih politika i propisa u cilju vrednovanja njihovih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inaka, preispitivanja i unapre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enja. 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  <w:tab/>
      </w:r>
      <w:r>
        <w:rPr>
          <w:rFonts w:ascii="Times New Roman" w:hAnsi="Times New Roman"/>
          <w:i w:val="1"/>
          <w:iCs w:val="1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Ex post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i </w:t>
      </w:r>
      <w:r>
        <w:rPr>
          <w:rFonts w:ascii="Times New Roman" w:hAnsi="Times New Roman"/>
          <w:i w:val="1"/>
          <w:iCs w:val="1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ex ante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analiza efekata predstavljaju dve perspektive koje se razlikuju s obzirom na predmet, ali im je svrha su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tinski ista. Analiza efekata primene propisa ima smisla ako slu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ž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i budu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nosti, tj. preispitivanju javnih politika (uklju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uju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i propise) kako bi se donele odluke o njihovoj budu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nosti: zadr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ž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ati </w:t>
      </w:r>
      <w:r>
        <w:rPr>
          <w:rFonts w:ascii="Times New Roman" w:hAnsi="Times New Roman"/>
          <w:i w:val="1"/>
          <w:iCs w:val="1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status quo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ili kreirati promene. </w:t>
      </w:r>
      <w:r>
        <w:rPr>
          <w:rFonts w:ascii="Times New Roman" w:hAnsi="Times New Roman"/>
          <w:i w:val="1"/>
          <w:iCs w:val="1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Ex post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analiza je usmerena ka pro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losti, postoje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oj praksi i efektima koje ona ima, dok se predmet </w:t>
      </w:r>
      <w:r>
        <w:rPr>
          <w:rFonts w:ascii="Times New Roman" w:hAnsi="Times New Roman"/>
          <w:i w:val="1"/>
          <w:iCs w:val="1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ex ante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analize efekata, koja bi trebalo da se oslanja na rezultate ex post analize, nalazi u promenama (ili njihovom izostanku) prilikom planiranja budu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ih koraka.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rtl w:val="0"/>
        </w:rPr>
        <w:tab/>
        <w:t xml:space="preserve">Prema 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lanu 14. st. 1-3. Zakona o plaskom sisemu Republike Srbije, program, u smislu ovog zakona, jeste dokument javne politike, 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eg obuhvata od strategije koji, po pravilu, razra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uje poseban cilj strategije ili nekog drugog planskog dokumenta u skladu sa kojim se donosi (Plan razvoja, Program Vlade, plan razvoja lokalne vlasti, koncept politike). Program predstavlja grupu nezavisnih ali tesno povezanih mera i/ili srodnih (kompatibilnih) projekata, kojima se upravlja i koordinira kako bi se ostvarili ciljevi koji se ne mogu ostvariti upravljanjem svakim od elemenata programa pojedina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no, odnosno nezavisno. Program se usvaja po pravilu za period do tri godine, a ostvarivanje ciljeva programa planira se i prati posredstvom akcionog plana za sprovo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enje programa.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rtl w:val="0"/>
        </w:rPr>
        <w:tab/>
        <w:t>Neophodno je ista</w:t>
      </w:r>
      <w:r>
        <w:rPr>
          <w:rFonts w:ascii="Times New Roman" w:hAnsi="Times New Roman" w:hint="default"/>
          <w:rtl w:val="0"/>
          <w:lang w:val="en-US"/>
        </w:rPr>
        <w:t>ć</w:t>
      </w:r>
      <w:r>
        <w:rPr>
          <w:rFonts w:ascii="Times New Roman" w:hAnsi="Times New Roman"/>
          <w:rtl w:val="0"/>
          <w:lang w:val="en-US"/>
        </w:rPr>
        <w:t>i da postoje izazovi koji proisti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u iz navedenih propisa, odnosno izvesne kontradikcije izme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u normi kojima se ure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uju planski dokumenti na nacionalnom i nivou lokalne samouprave. Bez obzira na to, intencija svih propisa i normi koje se odnose na planiranje javnih politika, usmerena je ka unapre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enju odre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enih oblasti, tj. obuhvataju i oblast socijalnih usluga odnosno usluga socijalne zajednice. Tako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e, intencija odnosnih propisa i normi je da omogu</w:t>
      </w:r>
      <w:r>
        <w:rPr>
          <w:rFonts w:ascii="Times New Roman" w:hAnsi="Times New Roman" w:hint="default"/>
          <w:rtl w:val="0"/>
          <w:lang w:val="en-US"/>
        </w:rPr>
        <w:t>ć</w:t>
      </w:r>
      <w:r>
        <w:rPr>
          <w:rFonts w:ascii="Times New Roman" w:hAnsi="Times New Roman"/>
          <w:rtl w:val="0"/>
          <w:lang w:val="en-US"/>
        </w:rPr>
        <w:t>i kreiranje javnih politika i dono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enje odluka kojima se ostvarjuju prava, zadovoljavaju potrebe i ostvaruje javni interes i interes gra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ana u pogledu usluga za kojima postoji potreba. U skladu sa tim, ovaj Akcioni plan proisti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e iz potreba gra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ana i resursa organa jednice lokalne sampuprave, javnih slu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bi i drugih lokalnih socijalnih aktera. Tako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 xml:space="preserve">e, Akcioni plan je zasnovan na na relevantnim 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injenicama, podacima i informacijama.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center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en-US"/>
        </w:rPr>
        <w:t>Uloga i odgovornosti lokalne samouprave u obezbe</w:t>
      </w:r>
      <w:r>
        <w:rPr>
          <w:rFonts w:ascii="Times New Roman" w:hAnsi="Times New Roman" w:hint="default"/>
          <w:b w:val="1"/>
          <w:bCs w:val="1"/>
          <w:rtl w:val="0"/>
          <w:lang w:val="en-US"/>
        </w:rPr>
        <w:t>đ</w:t>
      </w:r>
      <w:r>
        <w:rPr>
          <w:rFonts w:ascii="Times New Roman" w:hAnsi="Times New Roman"/>
          <w:b w:val="1"/>
          <w:bCs w:val="1"/>
          <w:rtl w:val="0"/>
          <w:lang w:val="en-US"/>
        </w:rPr>
        <w:t>ivanju socijalnih usluga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Body A"/>
        <w:spacing w:line="288" w:lineRule="auto"/>
        <w:jc w:val="both"/>
      </w:pPr>
      <w:r>
        <w:rPr>
          <w:rFonts w:ascii="Helvetica Neue" w:cs="Helvetica Neue" w:hAnsi="Helvetica Neue" w:eastAsia="Helvetica Neue"/>
          <w:sz w:val="22"/>
          <w:szCs w:val="22"/>
        </w:rPr>
        <w:tab/>
      </w:r>
      <w:r>
        <w:rPr>
          <w:u w:val="none" w:color="ff2600"/>
          <w:rtl w:val="0"/>
          <w:lang w:val="en-US"/>
        </w:rPr>
        <w:t>Zakonom o socijalnoj za</w:t>
      </w:r>
      <w:r>
        <w:rPr>
          <w:u w:val="none" w:color="ff2600"/>
          <w:rtl w:val="0"/>
          <w:lang w:val="en-US"/>
        </w:rPr>
        <w:t>š</w:t>
      </w:r>
      <w:r>
        <w:rPr>
          <w:u w:val="none" w:color="ff2600"/>
          <w:rtl w:val="0"/>
          <w:lang w:val="en-US"/>
        </w:rPr>
        <w:t>titi</w:t>
      </w:r>
      <w:r>
        <w:rPr>
          <w:b w:val="1"/>
          <w:bCs w:val="1"/>
          <w:i w:val="1"/>
          <w:iCs w:val="1"/>
          <w:u w:val="none" w:color="ff2600"/>
          <w:rtl w:val="0"/>
          <w:lang w:val="en-US"/>
        </w:rPr>
        <w:t xml:space="preserve"> </w:t>
      </w:r>
      <w:r>
        <w:rPr>
          <w:rtl w:val="0"/>
          <w:lang w:val="en-US"/>
        </w:rPr>
        <w:t>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tine i gradovi prepoznati su kao va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ni akteri u  obezbe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ivanju usluga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tite. Istu ulogu daje im i Zakon o lokalnoj samoupravi, prema kome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tina odnosno grad donosi programe razvoja, uklju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uju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i i razvoj socijalnih usluga i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sz w:val="22"/>
          <w:szCs w:val="22"/>
        </w:rPr>
        <w:tab/>
      </w:r>
      <w:r>
        <w:rPr>
          <w:rtl w:val="0"/>
          <w:lang w:val="en-US"/>
        </w:rPr>
        <w:t>Uloga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tina i gradova (jedinica lokalne samouprave) u razvoju usluga sadr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ana je u razli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itim grupama aktivnosti, kao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to je iniciranje planiranja, partnerstava i inovacija, ali i odgovarnosti za postojanje usluga koje su u njihovoj nadle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nosti i za kojima postoji potreba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anima. Ovo zna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 da upravo oni,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tine i gradovi, moraju obezbediti odre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ene socijalne usluge i u okviru njih usluge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tite. Obezbediti usluge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zna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 obezbediti: normativno-pravni osnov, finansijska sredstva i organizaciju ili vi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 njih, koje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aju usluge. Za jednu uslugu mo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 se obezbediti vi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 organizacija koje je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aju, ukoliko jedan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alac nema kapacitete za sve korisnike koji imaju potrebe za tom uslugom. Tako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e, ako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tina ili grad ima vi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 usluga, za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anje svake usluge mo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 xml:space="preserve">e obezbediti posebna organizacija.  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  <w:rPr>
          <w:rFonts w:ascii="Helvetica Neue" w:cs="Helvetica Neue" w:hAnsi="Helvetica Neue" w:eastAsia="Helvetica Neue"/>
          <w:sz w:val="22"/>
          <w:szCs w:val="22"/>
        </w:rPr>
      </w:pPr>
      <w:r>
        <w:rPr>
          <w:sz w:val="22"/>
          <w:szCs w:val="22"/>
        </w:rPr>
        <w:tab/>
      </w:r>
      <w:r>
        <w:rPr>
          <w:rtl w:val="0"/>
          <w:lang w:val="en-US"/>
        </w:rPr>
        <w:t>Potreba za razvojem ve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eg broja usluga u zajednici usmerena je ka pove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anju kapaciteta sistema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da omogu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i ostanak korisnika u svom okru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 xml:space="preserve">enju i njihovu integraciju u sredinu u kojoj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ive.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Body A"/>
        <w:spacing w:line="288" w:lineRule="auto"/>
        <w:jc w:val="both"/>
      </w:pPr>
      <w:r>
        <w:rPr>
          <w:rFonts w:ascii="Helvetica Neue" w:cs="Helvetica Neue" w:hAnsi="Helvetica Neue" w:eastAsia="Helvetica Neue"/>
          <w:sz w:val="22"/>
          <w:szCs w:val="22"/>
        </w:rPr>
        <w:tab/>
      </w:r>
      <w:r>
        <w:rPr>
          <w:rtl w:val="0"/>
          <w:lang w:val="en-US"/>
        </w:rPr>
        <w:t>Lokalna samuprava utvr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uje potrebe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ana i identifikuje usluge koje mogu da odgovore tim potrebama, ali i planira obezbe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enje potrebnih usluga u odnosu na definisane prioritete. Pored toga, lokalna samouprava stvara uslove za razvoj pluralizma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alaca usluga i podstic</w:t>
      </w:r>
      <w:r>
        <w:rPr>
          <w:rtl w:val="0"/>
          <w:lang w:val="en-US"/>
        </w:rPr>
        <w:t>̌</w:t>
      </w:r>
      <w:r>
        <w:rPr>
          <w:rtl w:val="0"/>
          <w:lang w:val="en-US"/>
        </w:rPr>
        <w:t>e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usektorsku saradnju. </w:t>
      </w:r>
    </w:p>
    <w:p>
      <w:pPr>
        <w:pStyle w:val="Default"/>
        <w:widowControl w:val="0"/>
        <w:spacing w:before="0"/>
        <w:jc w:val="both"/>
        <w:rPr>
          <w:rFonts w:ascii="Times New Roman" w:cs="Times New Roman" w:hAnsi="Times New Roman" w:eastAsia="Times New Roman"/>
          <w:u w:val="none" w:color="141112"/>
        </w:rPr>
      </w:pPr>
    </w:p>
    <w:p>
      <w:pPr>
        <w:pStyle w:val="Default"/>
        <w:widowControl w:val="0"/>
        <w:spacing w:befor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u w:val="none" w:color="141112"/>
        </w:rPr>
        <w:tab/>
      </w:r>
      <w:r>
        <w:rPr>
          <w:rFonts w:ascii="Times New Roman" w:hAnsi="Times New Roman"/>
          <w:rtl w:val="0"/>
          <w:lang w:val="en-US"/>
        </w:rPr>
        <w:t>Kljuc</w:t>
      </w:r>
      <w:r>
        <w:rPr>
          <w:rFonts w:ascii="Times New Roman" w:hAnsi="Times New Roman" w:hint="default"/>
          <w:rtl w:val="0"/>
          <w:lang w:val="en-US"/>
        </w:rPr>
        <w:t>̌</w:t>
      </w:r>
      <w:r>
        <w:rPr>
          <w:rFonts w:ascii="Times New Roman" w:hAnsi="Times New Roman"/>
          <w:rtl w:val="0"/>
          <w:lang w:val="en-US"/>
        </w:rPr>
        <w:t>ni preduslov za razvoj usluga koje odgovaraju prioritetnim potrebama gra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ana u lokalnoj zajednici je izrada lokalnog strate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kog plana za socijalnu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 xml:space="preserve">titu i akcionog plana za primenu strategije. Strategija treba da se odnosi na period od najmanje 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etiri godine. Kvalitet strategije meri se po tome da li ona odgovara identifikovanim i prioritizovanim potrebama, kao i u kojoj meri se strategija sprovodi. Ukljuc</w:t>
      </w:r>
      <w:r>
        <w:rPr>
          <w:rFonts w:ascii="Times New Roman" w:hAnsi="Times New Roman" w:hint="default"/>
          <w:rtl w:val="0"/>
          <w:lang w:val="en-US"/>
        </w:rPr>
        <w:t>̌</w:t>
      </w:r>
      <w:r>
        <w:rPr>
          <w:rFonts w:ascii="Times New Roman" w:hAnsi="Times New Roman"/>
          <w:rtl w:val="0"/>
          <w:lang w:val="en-US"/>
        </w:rPr>
        <w:t>ivanje razlic</w:t>
      </w:r>
      <w:r>
        <w:rPr>
          <w:rFonts w:ascii="Times New Roman" w:hAnsi="Times New Roman" w:hint="default"/>
          <w:rtl w:val="0"/>
          <w:lang w:val="en-US"/>
        </w:rPr>
        <w:t>̌</w:t>
      </w:r>
      <w:r>
        <w:rPr>
          <w:rFonts w:ascii="Times New Roman" w:hAnsi="Times New Roman"/>
          <w:rtl w:val="0"/>
          <w:lang w:val="en-US"/>
        </w:rPr>
        <w:t>itih aktera u izradu strategije povec</w:t>
      </w:r>
      <w:r>
        <w:rPr>
          <w:rFonts w:ascii="Times New Roman" w:hAnsi="Times New Roman" w:hint="default"/>
          <w:rtl w:val="0"/>
          <w:lang w:val="en-US"/>
        </w:rPr>
        <w:t>́</w:t>
      </w:r>
      <w:r>
        <w:rPr>
          <w:rFonts w:ascii="Times New Roman" w:hAnsi="Times New Roman"/>
          <w:rtl w:val="0"/>
          <w:lang w:val="en-US"/>
        </w:rPr>
        <w:t>ava garanciju da su potrebe dobro prepoznate, potrebne usluge dobro identifikovane i da c</w:t>
      </w:r>
      <w:r>
        <w:rPr>
          <w:rFonts w:ascii="Times New Roman" w:hAnsi="Times New Roman" w:hint="default"/>
          <w:rtl w:val="0"/>
          <w:lang w:val="en-US"/>
        </w:rPr>
        <w:t>́</w:t>
      </w:r>
      <w:r>
        <w:rPr>
          <w:rFonts w:ascii="Times New Roman" w:hAnsi="Times New Roman"/>
          <w:rtl w:val="0"/>
          <w:lang w:val="en-US"/>
        </w:rPr>
        <w:t xml:space="preserve">e se strategija primenjivati.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  <w:rPr>
          <w:rFonts w:ascii="Helvetica Neue" w:cs="Helvetica Neue" w:hAnsi="Helvetica Neue" w:eastAsia="Helvetica Neue"/>
          <w:sz w:val="22"/>
          <w:szCs w:val="22"/>
        </w:rPr>
      </w:pPr>
      <w:r>
        <w:rPr>
          <w:rFonts w:ascii="Helvetica Neue" w:cs="Helvetica Neue" w:hAnsi="Helvetica Neue" w:eastAsia="Helvetica Neue"/>
        </w:rPr>
        <w:tab/>
      </w:r>
      <w:r>
        <w:rPr>
          <w:rtl w:val="0"/>
          <w:lang w:val="en-US"/>
        </w:rPr>
        <w:t>Iz kratkoro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ne perspektive, </w:t>
      </w:r>
      <w:r>
        <w:rPr>
          <w:u w:val="none" w:color="141112"/>
          <w:rtl w:val="0"/>
          <w:lang w:val="en-US"/>
        </w:rPr>
        <w:t>blagovremeno planiranje je neophodno da bi se potrebe korisnika sagledale ve</w:t>
      </w:r>
      <w:r>
        <w:rPr>
          <w:u w:val="none" w:color="141112"/>
          <w:rtl w:val="0"/>
          <w:lang w:val="en-US"/>
        </w:rPr>
        <w:t xml:space="preserve">ć </w:t>
      </w:r>
      <w:r>
        <w:rPr>
          <w:u w:val="none" w:color="141112"/>
          <w:rtl w:val="0"/>
          <w:lang w:val="en-US"/>
        </w:rPr>
        <w:t>u prvoj polovini teku</w:t>
      </w:r>
      <w:r>
        <w:rPr>
          <w:u w:val="none" w:color="141112"/>
          <w:rtl w:val="0"/>
          <w:lang w:val="en-US"/>
        </w:rPr>
        <w:t>ć</w:t>
      </w:r>
      <w:r>
        <w:rPr>
          <w:u w:val="none" w:color="141112"/>
          <w:rtl w:val="0"/>
          <w:lang w:val="en-US"/>
        </w:rPr>
        <w:t>e godine za narednu godinu, kako bi jedinica lokalne samouprave ve</w:t>
      </w:r>
      <w:r>
        <w:rPr>
          <w:u w:val="none" w:color="141112"/>
          <w:rtl w:val="0"/>
          <w:lang w:val="en-US"/>
        </w:rPr>
        <w:t xml:space="preserve">ć </w:t>
      </w:r>
      <w:r>
        <w:rPr>
          <w:u w:val="none" w:color="141112"/>
          <w:rtl w:val="0"/>
          <w:lang w:val="en-US"/>
        </w:rPr>
        <w:t>na po</w:t>
      </w:r>
      <w:r>
        <w:rPr>
          <w:u w:val="none" w:color="141112"/>
          <w:rtl w:val="0"/>
          <w:lang w:val="en-US"/>
        </w:rPr>
        <w:t>č</w:t>
      </w:r>
      <w:r>
        <w:rPr>
          <w:u w:val="none" w:color="141112"/>
          <w:rtl w:val="0"/>
          <w:lang w:val="en-US"/>
        </w:rPr>
        <w:t>etku planiranja bud</w:t>
      </w:r>
      <w:r>
        <w:rPr>
          <w:u w:val="none" w:color="141112"/>
          <w:rtl w:val="0"/>
          <w:lang w:val="en-US"/>
        </w:rPr>
        <w:t>ž</w:t>
      </w:r>
      <w:r>
        <w:rPr>
          <w:u w:val="none" w:color="141112"/>
          <w:rtl w:val="0"/>
          <w:lang w:val="en-US"/>
        </w:rPr>
        <w:t>eta znala precizne potrebe i obezbedila dovoljna sredstva za potrebe obezbe</w:t>
      </w:r>
      <w:r>
        <w:rPr>
          <w:u w:val="none" w:color="141112"/>
          <w:rtl w:val="0"/>
          <w:lang w:val="en-US"/>
        </w:rPr>
        <w:t>đ</w:t>
      </w:r>
      <w:r>
        <w:rPr>
          <w:u w:val="none" w:color="141112"/>
          <w:rtl w:val="0"/>
          <w:lang w:val="en-US"/>
        </w:rPr>
        <w:t>enja.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center"/>
        <w:rPr>
          <w:rFonts w:ascii="Times New Roman" w:cs="Times New Roman" w:hAnsi="Times New Roman" w:eastAsia="Times New Roman"/>
          <w:b w:val="1"/>
          <w:bCs w:val="1"/>
        </w:rPr>
      </w:pPr>
      <w:r>
        <w:rPr>
          <w:rFonts w:ascii="Times New Roman" w:hAnsi="Times New Roman"/>
          <w:b w:val="1"/>
          <w:bCs w:val="1"/>
          <w:rtl w:val="0"/>
          <w:lang w:val="en-US"/>
        </w:rPr>
        <w:t>Relevantna nacionalna planska dokumenta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rtl w:val="0"/>
        </w:rPr>
        <w:tab/>
        <w:t>Poslednjih nekoliko godina sve aktivnosti, normativne, organizacione, planske i dr. u sistemu socijalne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tite Republike Srbije, sprovode se bez va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e</w:t>
      </w:r>
      <w:r>
        <w:rPr>
          <w:rFonts w:ascii="Times New Roman" w:hAnsi="Times New Roman" w:hint="default"/>
          <w:rtl w:val="0"/>
          <w:lang w:val="en-US"/>
        </w:rPr>
        <w:t>ć</w:t>
      </w:r>
      <w:r>
        <w:rPr>
          <w:rFonts w:ascii="Times New Roman" w:hAnsi="Times New Roman"/>
          <w:rtl w:val="0"/>
          <w:lang w:val="en-US"/>
        </w:rPr>
        <w:t>e strategije u oblasti socijalne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 xml:space="preserve">tite. Poslednja </w:t>
      </w:r>
      <w:r>
        <w:rPr>
          <w:rFonts w:ascii="Times New Roman" w:hAnsi="Times New Roman"/>
          <w:b w:val="1"/>
          <w:bCs w:val="1"/>
          <w:i w:val="1"/>
          <w:iCs w:val="1"/>
          <w:rtl w:val="0"/>
          <w:lang w:val="en-US"/>
        </w:rPr>
        <w:t>Strategija socijalne za</w:t>
      </w:r>
      <w:r>
        <w:rPr>
          <w:rFonts w:ascii="Times New Roman" w:hAnsi="Times New Roman" w:hint="default"/>
          <w:b w:val="1"/>
          <w:bCs w:val="1"/>
          <w:i w:val="1"/>
          <w:iCs w:val="1"/>
          <w:rtl w:val="0"/>
          <w:lang w:val="en-US"/>
        </w:rPr>
        <w:t>š</w:t>
      </w:r>
      <w:r>
        <w:rPr>
          <w:rFonts w:ascii="Times New Roman" w:hAnsi="Times New Roman"/>
          <w:b w:val="1"/>
          <w:bCs w:val="1"/>
          <w:i w:val="1"/>
          <w:iCs w:val="1"/>
          <w:rtl w:val="0"/>
          <w:lang w:val="en-US"/>
        </w:rPr>
        <w:t>tite</w:t>
      </w:r>
      <w:r>
        <w:rPr>
          <w:rFonts w:ascii="Times New Roman" w:hAnsi="Times New Roman"/>
          <w:rtl w:val="0"/>
          <w:lang w:val="en-US"/>
        </w:rPr>
        <w:t xml:space="preserve"> bila je usvojena 2005. godine. Osnovni cilj Strategije bio je razvijanje integralne socijalne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tite u kojoj socijalni akteri na najefikasniji na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in koriste postoje</w:t>
      </w:r>
      <w:r>
        <w:rPr>
          <w:rFonts w:ascii="Times New Roman" w:hAnsi="Times New Roman" w:hint="default"/>
          <w:rtl w:val="0"/>
          <w:lang w:val="en-US"/>
        </w:rPr>
        <w:t>ć</w:t>
      </w:r>
      <w:r>
        <w:rPr>
          <w:rFonts w:ascii="Times New Roman" w:hAnsi="Times New Roman"/>
          <w:rtl w:val="0"/>
          <w:lang w:val="en-US"/>
        </w:rPr>
        <w:t>e i razvijaju nove resurse putem dostupnih, kvalitetnih i raznovrsnih usluga, radi o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uvanja i pobolj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 xml:space="preserve">anja kvaliteta 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 xml:space="preserve">ivota ranjivih i marginalizovanih pojedinaca i grupa, osposobljavanja za produktivan 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ivot u zajednici i predupre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enja zavisnosti od socijalnih slu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bi. Kako bi se ispunilo ostvarivanje ovog cilja Strategija je definisala dva posebna cilja, nekoliko specifi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nih ciljeva i veliki broj mera za sprovo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enje strate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kih ciljeva. Dva posebna cilja Strategije bila su: 1. Unapre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tite najsiroma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nijih gra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ana i 2. Razvijanje mre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e usluga u zajednici.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  <w:r>
        <w:rPr>
          <w:rFonts w:ascii="Times New Roman" w:cs="Times New Roman" w:hAnsi="Times New Roman" w:eastAsia="Times New Roman"/>
          <w:rtl w:val="0"/>
        </w:rPr>
        <w:tab/>
        <w:t>Strategija razvoja socijalne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tite (2005) nije odre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 xml:space="preserve">ivala vreme u kome </w:t>
      </w:r>
      <w:r>
        <w:rPr>
          <w:rFonts w:ascii="Times New Roman" w:hAnsi="Times New Roman" w:hint="default"/>
          <w:rtl w:val="0"/>
          <w:lang w:val="en-US"/>
        </w:rPr>
        <w:t>ć</w:t>
      </w:r>
      <w:r>
        <w:rPr>
          <w:rFonts w:ascii="Times New Roman" w:hAnsi="Times New Roman"/>
          <w:rtl w:val="0"/>
          <w:lang w:val="en-US"/>
        </w:rPr>
        <w:t>e se sprovoditi, a predlo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ene aktivnosti obuhvatale su period do 2009. godine. Ova strategija podrazumevala je pluralizaciju pru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alaca usluga, odnosno prenos odgovornosti za sprovo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enje socijalne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tite na sve one lokalne aktere koji imaju ne samo u tom trenutku formalizoana ovla</w:t>
      </w:r>
      <w:r>
        <w:rPr>
          <w:rFonts w:ascii="Times New Roman" w:hAnsi="Times New Roman" w:hint="default"/>
          <w:rtl w:val="0"/>
          <w:lang w:val="en-US"/>
        </w:rPr>
        <w:t>šć</w:t>
      </w:r>
      <w:r>
        <w:rPr>
          <w:rFonts w:ascii="Times New Roman" w:hAnsi="Times New Roman"/>
          <w:rtl w:val="0"/>
          <w:lang w:val="en-US"/>
        </w:rPr>
        <w:t>enja i nadle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nosti, nego i volju, iskustva i znanja koja su relevantna za samu socijalnu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titu. Ovo podrazumeva i saradnju javnog i nevladinog sektora. Uvo</w:t>
      </w:r>
      <w:r>
        <w:rPr>
          <w:rFonts w:ascii="Times New Roman" w:hAnsi="Times New Roman" w:hint="default"/>
          <w:rtl w:val="0"/>
          <w:lang w:val="en-US"/>
        </w:rPr>
        <w:t>đ</w:t>
      </w:r>
      <w:r>
        <w:rPr>
          <w:rFonts w:ascii="Times New Roman" w:hAnsi="Times New Roman"/>
          <w:rtl w:val="0"/>
          <w:lang w:val="en-US"/>
        </w:rPr>
        <w:t>enje organizacija civilnog sektora kao pru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alaca usluga socijalne za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tite bilo je motivisano potrebom za podizanjem kvaliteta usluga i potrebom za razvojem ekonomi</w:t>
      </w:r>
      <w:r>
        <w:rPr>
          <w:rFonts w:ascii="Times New Roman" w:hAnsi="Times New Roman" w:hint="default"/>
          <w:rtl w:val="0"/>
          <w:lang w:val="en-US"/>
        </w:rPr>
        <w:t>č</w:t>
      </w:r>
      <w:r>
        <w:rPr>
          <w:rFonts w:ascii="Times New Roman" w:hAnsi="Times New Roman"/>
          <w:rtl w:val="0"/>
          <w:lang w:val="en-US"/>
        </w:rPr>
        <w:t>nijeg i efikasnijeg sistema, kao i stvaranjem razgranate mre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e dru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tvene solidarnosti, koja bi efikasno koristila i resurse van javnog sektora.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Body B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20" w:line="288" w:lineRule="auto"/>
        <w:jc w:val="both"/>
      </w:pPr>
      <w:r>
        <w:rPr>
          <w:b w:val="1"/>
          <w:bCs w:val="1"/>
        </w:rPr>
        <w:tab/>
      </w:r>
      <w:r>
        <w:rPr>
          <w:rtl w:val="0"/>
          <w:lang w:val="en-US"/>
        </w:rPr>
        <w:t>U nedostatku koherentnog strate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kog okvira o socijalnoj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titi, Vlada Republike Srbije je reforme u oblasti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usmeravala putem nacionalnih izvetaja o smanjenju siroma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tva i social om uklju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ivanju koji su usvajani u periodima od tri godine. U procesu evropskih integracija pripremljen je Program reformi politike zapo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ljavanje i socijalne politike koji u zna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ajnoj meri sadr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 mere iz oblasti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do 2020. godine. Program ekonomske reforme na godi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njem nivou usagla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ava manji broj mera koje se odnose na socijalnu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titu. Proces pregovora o pristupanju Srbije EU je kroz razli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ita poglavlja definisao i usmerio razvoj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tite, a ovu oblast posebno obra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uju poglavlja 23 i 19. Za poglavlje 23 (reforma pravosu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 i osnovna prava) je usagla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en Akcioni plan, dok su za poglavlje 19 (socijalna politika i zapo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ljavanje) sprovedeni eksplanatorni (februar 2014.) i bilateralni skrining (jun 2014.), dok je Izve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taj o skriningu za poglavlje 19 pripremljen u januaru 2016. godine. Akcioni plan za otvaranje poglavlja 19 nije usagla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en izme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 Evropske komisije i Vlade Republike Srbije.</w:t>
      </w:r>
    </w:p>
    <w:p>
      <w:pPr>
        <w:pStyle w:val="Body B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20" w:line="288" w:lineRule="auto"/>
        <w:jc w:val="both"/>
      </w:pPr>
      <w:r>
        <w:rPr>
          <w:rtl w:val="0"/>
        </w:rPr>
        <w:tab/>
        <w:t>Iz navedenog se mo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 zaklju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iti da aktuelno ne postoji nacionalni strate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ki dokument odnosno adekvatni nacionalni planski dokument iz kojeg bi se mogao razviti lokalni strate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ki dokument koji bi u sebi sadr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avao oblast socijalnih usluga odnosno usluga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tite.  </w:t>
      </w:r>
    </w:p>
    <w:p>
      <w:pPr>
        <w:pStyle w:val="Body B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20" w:line="288" w:lineRule="auto"/>
        <w:jc w:val="both"/>
      </w:pPr>
    </w:p>
    <w:p>
      <w:pPr>
        <w:pStyle w:val="Body B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20" w:line="288" w:lineRule="auto"/>
        <w:jc w:val="both"/>
      </w:pPr>
    </w:p>
    <w:p>
      <w:pPr>
        <w:pStyle w:val="Default"/>
        <w:spacing w:before="0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b w:val="1"/>
          <w:bCs w:val="1"/>
          <w:rtl w:val="0"/>
          <w:lang w:val="en-US"/>
        </w:rPr>
        <w:t>Relevantna lokalna planska dokumenta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cs="Times New Roman" w:hAnsi="Times New Roman" w:eastAsia="Times New Roman"/>
          <w:rtl w:val="0"/>
        </w:rPr>
        <w:tab/>
        <w:t>Op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tina Bujanovac nema aktuelni strate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ki dokument iz kojeg bi se mogle derivirati komponente za potrebe ovog Akcionog plana.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cs="Times New Roman" w:hAnsi="Times New Roman" w:eastAsia="Times New Roman"/>
          <w:u w:val="none" w:color="000000"/>
          <w:rtl w:val="0"/>
          <w14:textOutline w14:w="12700" w14:cap="flat">
            <w14:noFill/>
            <w14:miter w14:lim="400000"/>
          </w14:textOutline>
        </w:rPr>
        <w:tab/>
        <w:t>Mora se ista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i da u Bujanovcu postoji potreba za unapre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đ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enjem socijalnih usluga, odnosno za zadovoljavanjem potreba gra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đ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ana za odre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đ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enim uslugama i podr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kama. O potrebama identifikovanim u ovoj jednici lokalne samouprave vi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e navoda dato je u posebnom delu Akcionog plana. </w:t>
      </w: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</w:pPr>
    </w:p>
    <w:p>
      <w:pPr>
        <w:pStyle w:val="Default"/>
        <w:spacing w:before="0"/>
        <w:jc w:val="both"/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</w:pPr>
      <w:r>
        <w:rPr>
          <w:rFonts w:ascii="Times New Roman" w:cs="Times New Roman" w:hAnsi="Times New Roman" w:eastAsia="Times New Roman"/>
          <w:u w:val="none" w:color="000000"/>
          <w:rtl w:val="0"/>
          <w14:textOutline w14:w="12700" w14:cap="flat">
            <w14:noFill/>
            <w14:miter w14:lim="400000"/>
          </w14:textOutline>
        </w:rPr>
        <w:tab/>
        <w:t>U skladu sa navedenim Akcioni plan ima atribute planskog dokumenta koji u konkretnoj jedinici lokalne samouprave mo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ž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 da pokrene odgovaraju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e resursei stavi ih u funkcioju zadovoljavanja potreba konkretnih grupa gra</w:t>
      </w:r>
      <w:r>
        <w:rPr>
          <w:rFonts w:ascii="Times New Roman" w:hAnsi="Times New Roman" w:hint="default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đ</w:t>
      </w:r>
      <w:r>
        <w:rPr>
          <w:rFonts w:ascii="Times New Roman" w:hAnsi="Times New Roman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ana za socijalnim uslugama.  </w:t>
      </w:r>
    </w:p>
    <w:p>
      <w:pPr>
        <w:pStyle w:val="Default"/>
        <w:spacing w:before="0"/>
        <w:jc w:val="both"/>
      </w:pPr>
      <w:r>
        <w:rPr>
          <w:rFonts w:ascii="Times New Roman" w:cs="Times New Roman" w:hAnsi="Times New Roman" w:eastAsia="Times New Roman"/>
          <w:u w:val="none" w:color="000000"/>
          <w14:textOutline w14:w="12700" w14:cap="flat">
            <w14:noFill/>
            <w14:miter w14:lim="400000"/>
          </w14:textOutline>
        </w:rPr>
        <w:tab/>
      </w:r>
    </w:p>
    <w:p>
      <w:pPr>
        <w:pStyle w:val="Body A"/>
        <w:spacing w:line="288" w:lineRule="auto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Napomene o metodologiji</w:t>
      </w:r>
    </w:p>
    <w:p>
      <w:pPr>
        <w:pStyle w:val="Body A"/>
        <w:spacing w:line="288" w:lineRule="auto"/>
        <w:jc w:val="both"/>
        <w:rPr>
          <w:shd w:val="clear" w:color="auto" w:fill="ffff00"/>
        </w:rPr>
      </w:pPr>
    </w:p>
    <w:p>
      <w:pPr>
        <w:pStyle w:val="Body A"/>
        <w:spacing w:line="288" w:lineRule="auto"/>
        <w:jc w:val="both"/>
      </w:pPr>
      <w:r>
        <w:rPr>
          <w:shd w:val="clear" w:color="auto" w:fill="feffff"/>
        </w:rPr>
        <w:tab/>
      </w:r>
      <w:r>
        <w:rPr>
          <w:rtl w:val="0"/>
          <w:lang w:val="en-US"/>
        </w:rPr>
        <w:t>U procesu izrade Akcionog plana kori</w:t>
      </w:r>
      <w:r>
        <w:rPr>
          <w:rtl w:val="0"/>
          <w:lang w:val="en-US"/>
        </w:rPr>
        <w:t>šć</w:t>
      </w:r>
      <w:r>
        <w:rPr>
          <w:rtl w:val="0"/>
          <w:lang w:val="en-US"/>
        </w:rPr>
        <w:t>ena je metodologija participativnog planiranja. Podstaknuto je i omogu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eno je okupljanje lokalnih aktera odnosno predstavnika organa jedinice lokalne samouprave,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alaca socijalnih usluga, organizacija civilnog druptva i korisnika socijalnih usluga. U okru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enju u kome je podstican diskurs, kriti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no promi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ljanje, analiti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nost i kreativnosti, postignuto je adekvatno uklju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ivanje socijalnih aktera odnosno njihovih predstavnika, s ciljem maksimalne inkluzivnosti i uve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anja ose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aja vlasni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tva kako nad procesom lokalnog planiranja tako i nad produkom ovog procesa.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Dana 7. maja 2021. godine u Bujanovcu je odr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 xml:space="preserve">ana radionica na kojoj su predstavnici relevantnih lokalnih socijalnih aktera razmatrali potrebe, resurse, ciljeve, ciljne grupe, prioritete i generisali inpute za grupe aktivnosti za potrebe Akcionog plana.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Dana 27. maja 2021. godine u Bujanovcu je odr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ana fokus grupa mladih, s ciljem jasnijeg uvida uvida mladih u probleme i potrebe lokalne zajednice, kao i predloga za una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enje lokalnih socijalnih usluga. 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Dana  14. juna 2021. godine u Beogradu je odr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ana radionice na kojoj su predstavnici lokalnih socijalnih aktera razmatrali pitanja relevantna za Akcioni plan, a koja se odnose na: 1) sistem usluga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u nadle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nosti lokalnih samouprava: obaveze prilikom obezbe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ivanja usluga (planiranje,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 akta koje treba doneti, 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 obezbe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enja usluga); 2) standarde kvaliteta usluga socijalne za</w:t>
      </w:r>
      <w:r>
        <w:rPr>
          <w:rtl w:val="0"/>
          <w:lang w:val="en-US"/>
        </w:rPr>
        <w:t>š</w:t>
      </w:r>
      <w:r>
        <w:rPr>
          <w:rtl w:val="0"/>
          <w:lang w:val="nl-NL"/>
        </w:rPr>
        <w:t>tite</w:t>
      </w:r>
      <w:r>
        <w:rPr>
          <w:rtl w:val="0"/>
          <w:lang w:val="en-US"/>
        </w:rPr>
        <w:t>; 3) akciono planiranje u lokalnoj zajednici i uvo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enje novih / inovativnih usluga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 (na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ini obazbe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ivanja sredstava u bud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etu, putem namenskih transfera i projekata); 4) pra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enje realizacije akcionog plana (mehanizmi kontrole, monitoring, izve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tavanje i dr. mehanizmi za odr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ivo lokalno planiranje).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Dana 11. avgusta 2021. godine u Bujanovcu je odr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 xml:space="preserve">ana radionica na kojoj su razmatrani komentari i sugestije na prvi radni nacrt Akcionog plana i postognuti dogovori o finalizaciji nacrta.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Za potrebe Akcionog plana razmotreni su i analizirani i drugi relevatni izvori: izve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taji, odluke u oblasti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tite, pravilnici i dr. dokumenta iz kojih se mogu identifikovati stanje i  kretanja na normativnom, organizacionom i institucionalnom nivou u Bujanovcu u oblasti socijalnih usluga odnosno usluga socijalne za</w:t>
      </w:r>
      <w:r>
        <w:rPr>
          <w:rtl w:val="0"/>
          <w:lang w:val="en-US"/>
        </w:rPr>
        <w:t>š</w:t>
      </w:r>
      <w:r>
        <w:rPr>
          <w:rtl w:val="0"/>
          <w:lang w:val="it-IT"/>
        </w:rPr>
        <w:t xml:space="preserve">tite.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Ovaj Akcioni plan je kratkoro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ni razvojni dokument, koji sadr</w:t>
      </w:r>
      <w:r>
        <w:rPr>
          <w:rtl w:val="0"/>
          <w:lang w:val="en-US"/>
        </w:rPr>
        <w:t>ž</w:t>
      </w:r>
      <w:r>
        <w:rPr>
          <w:rtl w:val="0"/>
          <w:lang w:val="it-IT"/>
        </w:rPr>
        <w:t>i specifi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ne ciljeve, mere i aktivnosti usmerene ka unapre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enju polo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aja potencijalnih i aktuelnih korisnika socijalnih usluga u lokalnoj zajednici.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Osnovni podaci o lokalnoj zajednici relevatnti za Akcioni plan </w:t>
      </w:r>
    </w:p>
    <w:p>
      <w:pPr>
        <w:pStyle w:val="Body A"/>
        <w:spacing w:line="288" w:lineRule="auto"/>
        <w:jc w:val="both"/>
        <w:rPr>
          <w:b w:val="1"/>
          <w:bCs w:val="1"/>
        </w:rPr>
      </w:pPr>
    </w:p>
    <w:p>
      <w:pPr>
        <w:pStyle w:val="Body A"/>
        <w:spacing w:line="288" w:lineRule="auto"/>
        <w:jc w:val="both"/>
      </w:pPr>
      <w:r>
        <w:rPr>
          <w:b w:val="1"/>
          <w:bCs w:val="1"/>
        </w:rPr>
        <w:tab/>
      </w:r>
      <w:r>
        <w:rPr>
          <w:rtl w:val="0"/>
          <w:lang w:val="en-US"/>
        </w:rPr>
        <w:t>Bujanovac je gradsko naselje i sedi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te istoimene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tine u P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injskom upravni okrugu, na krajnjem jugu Srbije. Bujanovac je administrativni, privredni, kulturni, zdravstveni i obrazovni centar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tine. Bujanovac se nalazi u sredi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tu komunikacionih pravca, neposredno pored drumske i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elezni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ke magistrale na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unarodnom koridoru.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  <w:lang w:val="en-US"/>
        </w:rPr>
        <w:tab/>
        <w:t>Po zvani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nom popisu iz 2011. u Bujanovcu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ivi oko 19 000 stanovnika. Ovaj podatak nije ta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an jer su po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etkom septembra 2011. skup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tina albanskih poslanika pozvala Albance iz op</w:t>
      </w:r>
      <w:r>
        <w:rPr>
          <w:rtl w:val="0"/>
          <w:lang w:val="en-US"/>
        </w:rPr>
        <w:t>š</w:t>
      </w:r>
      <w:r>
        <w:rPr>
          <w:rtl w:val="0"/>
          <w:lang w:val="it-IT"/>
        </w:rPr>
        <w:t>tina Pre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evo, Medve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 i Bujanovac da bojkotuju popis Republike Srbije. Po popisu iz 2002. godine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tina Bujanovac je brojala oko 53 500 stanovnika.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  <w:rPr>
          <w:b w:val="1"/>
          <w:bCs w:val="1"/>
        </w:rPr>
      </w:pPr>
      <w:r>
        <w:rPr>
          <w:b w:val="1"/>
          <w:bCs w:val="1"/>
        </w:rPr>
        <w:tab/>
      </w: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Pregled formalnog stanja socijalnih usluga u Bujanovcu</w:t>
      </w:r>
    </w:p>
    <w:p>
      <w:pPr>
        <w:pStyle w:val="List Paragraph"/>
        <w:spacing w:line="288" w:lineRule="auto"/>
        <w:ind w:left="360" w:firstLine="0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  <w:lang w:val="en-US"/>
        </w:rPr>
        <w:tab/>
        <w:t>Odlukom o pravima iz oblasti socijalne za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tite na teritoriji Op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tine Bujanovac propisano je obezbe</w:t>
      </w:r>
      <w:r>
        <w:rPr>
          <w:rFonts w:ascii="Cambria" w:hAnsi="Cambria" w:hint="default"/>
          <w:rtl w:val="0"/>
          <w:lang w:val="en-US"/>
        </w:rPr>
        <w:t>đ</w:t>
      </w:r>
      <w:r>
        <w:rPr>
          <w:rFonts w:ascii="Cambria" w:hAnsi="Cambria"/>
          <w:rtl w:val="0"/>
          <w:lang w:val="en-US"/>
        </w:rPr>
        <w:t>ivanje slede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>ih usluga socijalne za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tite unadle</w:t>
      </w:r>
      <w:r>
        <w:rPr>
          <w:rFonts w:ascii="Cambria" w:hAnsi="Cambria" w:hint="default"/>
          <w:rtl w:val="0"/>
          <w:lang w:val="en-US"/>
        </w:rPr>
        <w:t>ž</w:t>
      </w:r>
      <w:r>
        <w:rPr>
          <w:rFonts w:ascii="Cambria" w:hAnsi="Cambria"/>
          <w:rtl w:val="0"/>
          <w:lang w:val="en-US"/>
        </w:rPr>
        <w:t>nosti lokalne samouprave: 1) p</w:t>
      </w:r>
      <w:r>
        <w:rPr>
          <w:rFonts w:ascii="Cambria" w:hAnsi="Cambria"/>
          <w:rtl w:val="0"/>
          <w:lang w:val="es-ES_tradnl"/>
        </w:rPr>
        <w:t>omo</w:t>
      </w:r>
      <w:r>
        <w:rPr>
          <w:rFonts w:ascii="Cambria" w:hAnsi="Cambria" w:hint="default"/>
          <w:rtl w:val="0"/>
          <w:lang w:val="en-US"/>
        </w:rPr>
        <w:t xml:space="preserve">ć </w:t>
      </w:r>
      <w:r>
        <w:rPr>
          <w:rFonts w:ascii="Cambria" w:hAnsi="Cambria"/>
          <w:rtl w:val="0"/>
          <w:lang w:val="en-US"/>
        </w:rPr>
        <w:t>u ku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 xml:space="preserve">i; 2) personalni asistenti u redovnim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kolama i pred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kolskoj ustanovi; 3) usluge li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nog pratioca u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 xml:space="preserve">enika u specijalnim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kolama; 4) savetodavno </w:t>
      </w:r>
      <w:r>
        <w:rPr>
          <w:rFonts w:ascii="Cambria" w:hAnsi="Cambria" w:hint="default"/>
          <w:rtl w:val="0"/>
          <w:lang w:val="en-US"/>
        </w:rPr>
        <w:t xml:space="preserve">– </w:t>
      </w:r>
      <w:r>
        <w:rPr>
          <w:rFonts w:ascii="Cambria" w:hAnsi="Cambria"/>
          <w:rtl w:val="0"/>
          <w:lang w:val="en-US"/>
        </w:rPr>
        <w:t>terapijske i socijalno-edukativne usluge.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>O zahtevima za ostvarivanje prava iz ove odluke odlu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 xml:space="preserve">uje Centar za socijalni rad, osim u pravu na personalnog asistenta u redovnim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kolama i pred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kolskoj ustanovi i usluge li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nog pratioca u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 xml:space="preserve">enika u specijalnim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kolama o 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emu odlu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 xml:space="preserve">uje </w:t>
      </w:r>
      <w:r>
        <w:rPr>
          <w:rFonts w:ascii="Cambria" w:hAnsi="Cambria" w:hint="default"/>
          <w:rtl w:val="0"/>
          <w:lang w:val="en-US"/>
        </w:rPr>
        <w:t>К</w:t>
      </w:r>
      <w:r>
        <w:rPr>
          <w:rFonts w:ascii="Cambria" w:hAnsi="Cambria"/>
          <w:rtl w:val="0"/>
          <w:lang w:val="en-US"/>
        </w:rPr>
        <w:t>omisija za procenu potreba za pru</w:t>
      </w:r>
      <w:r>
        <w:rPr>
          <w:rFonts w:ascii="Cambria" w:hAnsi="Cambria" w:hint="default"/>
          <w:rtl w:val="0"/>
          <w:lang w:val="en-US"/>
        </w:rPr>
        <w:t>ž</w:t>
      </w:r>
      <w:r>
        <w:rPr>
          <w:rFonts w:ascii="Cambria" w:hAnsi="Cambria"/>
          <w:rtl w:val="0"/>
          <w:lang w:val="en-US"/>
        </w:rPr>
        <w:t>anjem dodatne obrazovne, zdravstvene ili socijalne podr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ke detetu ili u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eniku za pokretanje postupka procene (Interresorna komisija).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  <w:lang w:val="en-US"/>
        </w:rPr>
        <w:tab/>
        <w:t>Usluge socijalne za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tite propisane ovom odlukom, finansiraju se sredstvima iz bud</w:t>
      </w:r>
      <w:r>
        <w:rPr>
          <w:rFonts w:ascii="Cambria" w:hAnsi="Cambria" w:hint="default"/>
          <w:rtl w:val="0"/>
          <w:lang w:val="en-US"/>
        </w:rPr>
        <w:t>ž</w:t>
      </w:r>
      <w:r>
        <w:rPr>
          <w:rFonts w:ascii="Cambria" w:hAnsi="Cambria"/>
          <w:rtl w:val="0"/>
          <w:lang w:val="nl-NL"/>
        </w:rPr>
        <w:t>eta Op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tine, od donatora i drugih izvora u skladu sa zakonom.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  <w:lang w:val="en-US"/>
        </w:rPr>
        <w:tab/>
        <w:t xml:space="preserve">U Bujanovcu ima devet osnovnih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it-IT"/>
        </w:rPr>
        <w:t>kola</w:t>
      </w:r>
      <w:r>
        <w:rPr>
          <w:rFonts w:ascii="Cambria" w:hAnsi="Cambria"/>
          <w:rtl w:val="0"/>
          <w:lang w:val="en-US"/>
        </w:rPr>
        <w:t xml:space="preserve"> i dve srednje i jednu muzi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 xml:space="preserve">u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kolu.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kole su odvojene za decu pripadnike srpske i albanske nacionalnosti, u kojima se nastava odvija posebno na albanskom i srpskom jeziku. Postoji jedna pred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kolska ustanova (sa isturenim jedinicama u selima) u kojoj borave deca razli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itih nacionalnosti u izdvojenim odeljenjima ima jedna muzi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 xml:space="preserve">ka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kola.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center"/>
        <w:rPr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Identifikacija problema i prioriteti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U lokalnoj zajednici nema dovoljno socijalnih usluga za kojima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ani imaju potrebe, kako po vrsti usluga tako i po kapacitetima za njihovo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 xml:space="preserve">anje u potrebnom obimu. 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Postoji potreba za razvojem novih usluga u zajednici, kao i za pove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anjem kapaciteta za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anje postoje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ih usluga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titu u Bujanovcu.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center"/>
        <w:rPr>
          <w:i w:val="1"/>
          <w:iCs w:val="1"/>
        </w:rPr>
      </w:pPr>
      <w:r>
        <w:rPr>
          <w:i w:val="1"/>
          <w:iCs w:val="1"/>
          <w:rtl w:val="0"/>
          <w:lang w:val="pt-PT"/>
        </w:rPr>
        <w:t>Opis problema</w:t>
      </w:r>
      <w:r>
        <w:rPr>
          <w:i w:val="1"/>
          <w:iCs w:val="1"/>
          <w:rtl w:val="0"/>
          <w:lang w:val="en-US"/>
        </w:rPr>
        <w:t xml:space="preserve"> i definisanje prioriteta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Sistem socijalne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tite i socijalnih usluga u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irem smislu u Bujanovcu je oslonjen na organe lokalne samouprave, Centar za socijalni rad Bujanovac i javne slu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be u oblasti obrazovanja, vaspitanja i zdravstvene za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tite. Od organizacija civilnog dru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tva koje su direktno ili indirektno u vezi sa socijalnim uslugama u zajednici u izradi Akcionog plana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estvovali su Udru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enje Romkinja Bujanovac i Omladinski forum za edukaciju Roma. U izradi Akcionog plana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estvovali su i mladi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ani lokalne zajednice, koji su akciono planiranje prepoznali kao priliku za zagovaanje unapre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enja lokalnih socijalnih usluga. 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tab/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Prilikom izrade Akcionog plana ima se u vidu kratak period na koji se odnosi ovaj dokument (godinu dana),  kao i realnost i dosti</w:t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ž</w:t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nost postavljenih ciljeva, te se s obzirom na to defini</w:t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š</w:t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u slede</w:t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ć</w:t>
      </w:r>
      <w:r>
        <w:rPr>
          <w:b w:val="1"/>
          <w:bCs w:val="1"/>
          <w:i w:val="1"/>
          <w:iCs w:val="1"/>
          <w:u w:val="single" w:color="ffffff"/>
          <w:rtl w:val="0"/>
          <w:lang w:val="en-US"/>
        </w:rPr>
        <w:t>e prioriteti</w:t>
      </w:r>
      <w:r>
        <w:rPr>
          <w:rtl w:val="0"/>
          <w:lang w:val="en-US"/>
        </w:rPr>
        <w:t xml:space="preserve">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rtl w:val="0"/>
        </w:rPr>
        <w:tab/>
        <w:t>Kod gra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ana u lokalnoj zajednici od socijalnih problema evidentni su nezaposlenost i siroma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tvo, prosja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enje dece i odraslih, kao i slu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ajevi nasilja u porodici, maloletni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ke delinkvencije i vr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nja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kog nasilja u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kolama. Iz perspektive Centra za socijalni rad i profesionalaca u obrazovnom sistemu primetne su pojave nedovoljno funkcionalnih porodica sa decom i nedostatak organizovane 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ke roditeljima i deci iz ovih porodica, kao i dece sa smetnjama u razvoju (Daunovim sindromom u autizmom). 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</w:pPr>
      <w:r>
        <w:rPr>
          <w:lang w:val="en-US"/>
        </w:rPr>
        <w:tab/>
      </w:r>
      <w:r>
        <w:rPr>
          <w:b w:val="1"/>
          <w:bCs w:val="1"/>
          <w:rtl w:val="0"/>
          <w:lang w:val="en-US"/>
        </w:rPr>
        <w:t>Sistemski odgovor na nasilje u porodici, u skladu sa potrebama komunikacijske</w:t>
      </w:r>
      <w:r>
        <w:rPr>
          <w:b w:val="1"/>
          <w:bCs w:val="1"/>
          <w:rtl w:val="0"/>
          <w:lang w:val="pt-PT"/>
        </w:rPr>
        <w:t xml:space="preserve"> dos</w:t>
      </w:r>
      <w:r>
        <w:rPr>
          <w:b w:val="1"/>
          <w:bCs w:val="1"/>
          <w:rtl w:val="0"/>
          <w:lang w:val="en-US"/>
        </w:rPr>
        <w:t>tupnosti.</w:t>
      </w:r>
      <w:r>
        <w:rPr>
          <w:rtl w:val="0"/>
          <w:lang w:val="en-US"/>
        </w:rPr>
        <w:t xml:space="preserve"> Nasilje u porodici je evidentan dru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tveni problem, kako u Bujanovcu tako i u okolnim 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tinama odnosno lokalnim sredinama.  Verovatno ima porodi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nog nasilja u albanskim prodicama, kako partnerskog tako i nasilja prema deci, ali u Bijanovcu nema prihvatili</w:t>
      </w:r>
      <w:r>
        <w:rPr>
          <w:rtl w:val="0"/>
          <w:lang w:val="en-US"/>
        </w:rPr>
        <w:t>š</w:t>
      </w:r>
      <w:r>
        <w:rPr>
          <w:rtl w:val="0"/>
          <w:lang w:val="it-IT"/>
        </w:rPr>
        <w:t>ta. Ne mo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e se o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ekivati da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rtve porodi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nog nasilja pripadnice albanske nacioanlne zajednice lako pristanu da idu u skloni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te u Vranju, jer ne poznaju srpski jezik.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esnici u lokalnom akcionom planiranju prepoznaju uslugu SOS telefon za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rtve nasilja u porodici kao adekvatan odgovor na ovaj problem. Ova usluga  mogla bi biti postavljena na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tinski nivo, s tim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to bi se morala obezbediti i kao kulturolo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ki osetljiva i na 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 koji omogu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ava dobijanje potrebnih informacija i 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ke na       maternjem jeziku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rtve (srpskom, albanskom i romskom jeziku). Za pru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anje usluge SOS telefon postoji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tinski memoradnum o saradnji, koji obuhvata slede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 lokalne sampuprave: Vranje, Bujanovac, Pre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evo, Vladi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 Han, Surdulica, Bosilegrad, Trgovi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te. Postoje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i memorandum nema atribute pravno obavezuju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eg akta. Postoji potreba da se ova usluga obezbedi na me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>uop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tinskom niovu, na finansijski i organizaciono odr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iv 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in, uz navedeno premo</w:t>
      </w:r>
      <w:r>
        <w:rPr>
          <w:rtl w:val="0"/>
          <w:lang w:val="en-US"/>
        </w:rPr>
        <w:t>šć</w:t>
      </w:r>
      <w:r>
        <w:rPr>
          <w:rtl w:val="0"/>
          <w:lang w:val="en-US"/>
        </w:rPr>
        <w:t>avanje jezi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kih barijera. Da bi se to u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inilo potrebno je osmisliti funkcionalni sled koraka kojim 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e se na jasan 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in urediti odnosi, prava, uloge i obveze jedinica lokalne samouprave na koje 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 xml:space="preserve">e se odnositi usluga SOS telefon za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rtve nasilja u porodici.</w:t>
      </w:r>
    </w:p>
    <w:p>
      <w:pPr>
        <w:pStyle w:val="Body A"/>
        <w:spacing w:line="288" w:lineRule="auto"/>
        <w:jc w:val="both"/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lang w:val="en-US"/>
        </w:rPr>
        <w:tab/>
      </w:r>
      <w:r>
        <w:rPr>
          <w:b w:val="1"/>
          <w:bCs w:val="1"/>
          <w:rtl w:val="0"/>
          <w:lang w:val="en-US"/>
        </w:rPr>
        <w:t>Socijalna inkluzija dece iz osetljivih grupa, s fokusom na decu iz siroma</w:t>
      </w:r>
      <w:r>
        <w:rPr>
          <w:b w:val="1"/>
          <w:bCs w:val="1"/>
          <w:rtl w:val="0"/>
          <w:lang w:val="en-US"/>
        </w:rPr>
        <w:t>š</w:t>
      </w:r>
      <w:r>
        <w:rPr>
          <w:b w:val="1"/>
          <w:bCs w:val="1"/>
          <w:rtl w:val="0"/>
          <w:lang w:val="en-US"/>
        </w:rPr>
        <w:t>nih porodica i decu i mlade pripadnike romske zajednice</w:t>
      </w:r>
      <w:r>
        <w:rPr>
          <w:rtl w:val="0"/>
          <w:lang w:val="en-US"/>
        </w:rPr>
        <w:t>. Evidentno je napu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tanje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kolovanja od strane dece iz romske nacionalne zajednice. U pore</w:t>
      </w:r>
      <w:r>
        <w:rPr>
          <w:rtl w:val="0"/>
          <w:lang w:val="en-US"/>
        </w:rPr>
        <w:t>đ</w:t>
      </w:r>
      <w:r>
        <w:rPr>
          <w:rtl w:val="0"/>
          <w:lang w:val="en-US"/>
        </w:rPr>
        <w:t xml:space="preserve">enju sa podacima iz analiza iz 2004. godine, po kojoj je jedno dete romske nacionalnosti bilo na redovnom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kolovanju, aktuelna situacija je zna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 xml:space="preserve">ajno povoljnija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to se vidi iz podataka iznetih tokom radionice za izradu Akcionog plana po kojima se 65-70 dece Roma godi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nje upi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e u osnovnu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kolu. Situacije ja daleko od povoljne stoga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to samo oko  35%  upisane dece zavr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i osnovnu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kolu. Srednju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kolu naj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</w:t>
      </w:r>
      <w:r>
        <w:rPr>
          <w:rtl w:val="0"/>
          <w:lang w:val="en-US"/>
        </w:rPr>
        <w:t>šć</w:t>
      </w:r>
      <w:r>
        <w:rPr>
          <w:rtl w:val="0"/>
          <w:lang w:val="en-US"/>
        </w:rPr>
        <w:t>e zavr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i oko 60% upisane romske dece. Ve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ina dece srpske i albanske nacionalnosti zavr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ava osnovnu i srednju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kolu. Od ukupnog broja dece u srednjim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kolama oko </w:t>
      </w:r>
      <w:r>
        <w:rPr>
          <w:rtl w:val="0"/>
          <w:lang w:val="es-ES_tradnl"/>
        </w:rPr>
        <w:t xml:space="preserve">25% dece </w:t>
      </w:r>
      <w:r>
        <w:rPr>
          <w:rtl w:val="0"/>
          <w:lang w:val="en-US"/>
        </w:rPr>
        <w:t>je pripadnika romske nacionalne zajednice. Svega nekoliko romske dece po zavr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enoj srednoj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koli upi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e neki fakultet. Aktuelno je samo 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etvoro-petoro studenata iz lokalne zajednice, romske nacionalnosti. Ne postoje socijalne usluge niti vidovi 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 xml:space="preserve">ke odnosno podsticaja za obrazovanje romske dece. Nema dovolinjo stipendija za 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kolovanje romske dece. Ovo upu</w:t>
      </w:r>
      <w:r>
        <w:rPr>
          <w:rtl w:val="0"/>
          <w:lang w:val="en-US"/>
        </w:rPr>
        <w:t>ć</w:t>
      </w:r>
      <w:r>
        <w:rPr>
          <w:rtl w:val="0"/>
          <w:lang w:val="en-US"/>
        </w:rPr>
        <w:t>uje na potrebu za finansijskim vidovima podr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ke deci i roditeljima romske nacionalnosti, besplatnim</w:t>
      </w:r>
      <w:r>
        <w:rPr>
          <w:rtl w:val="0"/>
          <w:lang w:val="da-DK"/>
        </w:rPr>
        <w:t xml:space="preserve"> ud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benicima i drugim podsticajnim merama u oblasti obrzovanja radi socijalne inkluzije romske dece.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Ciljne grupe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 xml:space="preserve">Kao ciljne grupe na koje se odnosi ovaj Akcioni plan, identifikuju se: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  <w:lang w:val="en-US"/>
        </w:rPr>
        <w:tab/>
        <w:t xml:space="preserve">1) </w:t>
      </w:r>
      <w:r>
        <w:rPr>
          <w:rtl w:val="0"/>
          <w:lang w:val="en-US"/>
        </w:rPr>
        <w:t>ž</w:t>
      </w:r>
      <w:r>
        <w:rPr>
          <w:rtl w:val="0"/>
          <w:lang w:val="it-IT"/>
        </w:rPr>
        <w:t xml:space="preserve">ene i deca 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rtve nasilja u porodici;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 xml:space="preserve">2)  deca iz osetljivih grupa;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>3) deca iz siroma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nih porodica;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 xml:space="preserve">4) deca i mladi pripadnici romske zajednice;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 xml:space="preserve">5) korisnici usluga Centra za socijalni rad u Bujanovcu.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</w:rPr>
        <w:tab/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Ciljevi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lang w:val="en-US"/>
        </w:rPr>
        <w:tab/>
      </w:r>
      <w:r>
        <w:rPr>
          <w:rFonts w:ascii="Cambria" w:hAnsi="Cambria"/>
          <w:b w:val="1"/>
          <w:bCs w:val="1"/>
          <w:rtl w:val="0"/>
          <w:lang w:val="nl-NL"/>
        </w:rPr>
        <w:t>Op</w:t>
      </w:r>
      <w:r>
        <w:rPr>
          <w:rFonts w:ascii="Cambria" w:hAnsi="Cambria" w:hint="default"/>
          <w:b w:val="1"/>
          <w:bCs w:val="1"/>
          <w:rtl w:val="0"/>
          <w:lang w:val="en-US"/>
        </w:rPr>
        <w:t>š</w:t>
      </w:r>
      <w:r>
        <w:rPr>
          <w:rFonts w:ascii="Cambria" w:hAnsi="Cambria"/>
          <w:b w:val="1"/>
          <w:bCs w:val="1"/>
          <w:rtl w:val="0"/>
          <w:lang w:val="en-US"/>
        </w:rPr>
        <w:t>ti cilj</w:t>
      </w:r>
      <w:r>
        <w:rPr>
          <w:rFonts w:ascii="Cambria" w:hAnsi="Cambria"/>
          <w:rtl w:val="0"/>
          <w:lang w:val="en-US"/>
        </w:rPr>
        <w:t xml:space="preserve"> Akcionog plana je unapre</w:t>
      </w:r>
      <w:r>
        <w:rPr>
          <w:rFonts w:ascii="Cambria" w:hAnsi="Cambria" w:hint="default"/>
          <w:rtl w:val="0"/>
          <w:lang w:val="en-US"/>
        </w:rPr>
        <w:t>đ</w:t>
      </w:r>
      <w:r>
        <w:rPr>
          <w:rFonts w:ascii="Cambria" w:hAnsi="Cambria"/>
          <w:rtl w:val="0"/>
          <w:lang w:val="en-US"/>
        </w:rPr>
        <w:t>enje dostupnosti socijalnih usluga.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</w:p>
    <w:p>
      <w:pPr>
        <w:pStyle w:val="Body A"/>
        <w:spacing w:line="288" w:lineRule="auto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lang w:val="en-US"/>
        </w:rPr>
        <w:tab/>
      </w:r>
      <w:r>
        <w:rPr>
          <w:rFonts w:ascii="Cambria" w:hAnsi="Cambria"/>
          <w:b w:val="1"/>
          <w:bCs w:val="1"/>
          <w:rtl w:val="0"/>
          <w:lang w:val="it-IT"/>
        </w:rPr>
        <w:t>Specifi</w:t>
      </w:r>
      <w:r>
        <w:rPr>
          <w:rFonts w:ascii="Cambria" w:hAnsi="Cambria" w:hint="default"/>
          <w:b w:val="1"/>
          <w:bCs w:val="1"/>
          <w:rtl w:val="0"/>
          <w:lang w:val="en-US"/>
        </w:rPr>
        <w:t>č</w:t>
      </w:r>
      <w:r>
        <w:rPr>
          <w:rFonts w:ascii="Cambria" w:hAnsi="Cambria"/>
          <w:b w:val="1"/>
          <w:bCs w:val="1"/>
          <w:rtl w:val="0"/>
          <w:lang w:val="en-US"/>
        </w:rPr>
        <w:t>ni ciljevi</w:t>
      </w:r>
      <w:r>
        <w:rPr>
          <w:rFonts w:ascii="Cambria" w:hAnsi="Cambria"/>
          <w:rtl w:val="0"/>
          <w:lang w:val="en-US"/>
        </w:rPr>
        <w:t xml:space="preserve"> su: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  <w:lang w:val="fr-FR"/>
        </w:rPr>
      </w:pPr>
      <w:r>
        <w:rPr>
          <w:rFonts w:ascii="Cambria" w:cs="Cambria" w:hAnsi="Cambria" w:eastAsia="Cambria"/>
          <w:rtl w:val="0"/>
          <w:lang w:val="fr-FR"/>
        </w:rPr>
        <w:tab/>
        <w:t>1) sistemski odgovor na nasilje u porodici, u skladu sa potrebama komunikacijske dostupnosti;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  <w:lang w:val="fr-FR"/>
        </w:rPr>
      </w:pPr>
      <w:r>
        <w:rPr>
          <w:rFonts w:ascii="Cambria" w:cs="Cambria" w:hAnsi="Cambria" w:eastAsia="Cambria"/>
          <w:rtl w:val="0"/>
          <w:lang w:val="fr-FR"/>
        </w:rPr>
        <w:tab/>
        <w:t>2) socijalna inkluzija dece iz osetljivih grupa, s fokusom na decu iz siroma</w:t>
      </w:r>
      <w:r>
        <w:rPr>
          <w:rFonts w:ascii="Cambria" w:hAnsi="Cambria" w:hint="default"/>
          <w:rtl w:val="0"/>
          <w:lang w:val="fr-FR"/>
        </w:rPr>
        <w:t>š</w:t>
      </w:r>
      <w:r>
        <w:rPr>
          <w:rFonts w:ascii="Cambria" w:hAnsi="Cambria"/>
          <w:rtl w:val="0"/>
          <w:lang w:val="fr-FR"/>
        </w:rPr>
        <w:t xml:space="preserve">nih porodica i decu i mlade pripadnike romske zajednice; 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  <w:lang w:val="fr-FR"/>
        </w:rPr>
      </w:pPr>
      <w:r>
        <w:rPr>
          <w:rFonts w:ascii="Cambria" w:cs="Cambria" w:hAnsi="Cambria" w:eastAsia="Cambria"/>
          <w:rtl w:val="0"/>
          <w:lang w:val="fr-FR"/>
        </w:rPr>
        <w:tab/>
        <w:t>3) unapre</w:t>
      </w:r>
      <w:r>
        <w:rPr>
          <w:rFonts w:ascii="Cambria" w:hAnsi="Cambria" w:hint="default"/>
          <w:rtl w:val="0"/>
          <w:lang w:val="fr-FR"/>
        </w:rPr>
        <w:t>đ</w:t>
      </w:r>
      <w:r>
        <w:rPr>
          <w:rFonts w:ascii="Cambria" w:hAnsi="Cambria"/>
          <w:rtl w:val="0"/>
          <w:lang w:val="fr-FR"/>
        </w:rPr>
        <w:t>enje odgovornosti donosilaca odluka i Centra za socijalni rad prema gra</w:t>
      </w:r>
      <w:r>
        <w:rPr>
          <w:rFonts w:ascii="Cambria" w:hAnsi="Cambria" w:hint="default"/>
          <w:rtl w:val="0"/>
          <w:lang w:val="fr-FR"/>
        </w:rPr>
        <w:t>đ</w:t>
      </w:r>
      <w:r>
        <w:rPr>
          <w:rFonts w:ascii="Cambria" w:hAnsi="Cambria"/>
          <w:rtl w:val="0"/>
          <w:lang w:val="fr-FR"/>
        </w:rPr>
        <w:t>anima korisnicima socijalne za</w:t>
      </w:r>
      <w:r>
        <w:rPr>
          <w:rFonts w:ascii="Cambria" w:hAnsi="Cambria" w:hint="default"/>
          <w:rtl w:val="0"/>
          <w:lang w:val="fr-FR"/>
        </w:rPr>
        <w:t>š</w:t>
      </w:r>
      <w:r>
        <w:rPr>
          <w:rFonts w:ascii="Cambria" w:hAnsi="Cambria"/>
          <w:rtl w:val="0"/>
          <w:lang w:val="fr-FR"/>
        </w:rPr>
        <w:t>tite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jc w:val="center"/>
        <w:rPr>
          <w:rFonts w:ascii="Cambria" w:cs="Cambria" w:hAnsi="Cambria" w:eastAsia="Cambria"/>
          <w:b w:val="1"/>
          <w:bCs w:val="1"/>
          <w14:textOutline w14:w="12700" w14:cap="flat">
            <w14:noFill/>
            <w14:miter w14:lim="400000"/>
          </w14:textOutline>
        </w:rPr>
      </w:pPr>
      <w:r>
        <w:rPr>
          <w:rFonts w:ascii="Cambria" w:hAnsi="Cambria"/>
          <w:b w:val="1"/>
          <w:bCs w:val="1"/>
          <w:rtl w:val="0"/>
          <w:lang w:val="en-US"/>
          <w14:textOutline w14:w="12700" w14:cap="flat">
            <w14:noFill/>
            <w14:miter w14:lim="400000"/>
          </w14:textOutline>
        </w:rPr>
        <w:t>Pra</w:t>
      </w:r>
      <w:r>
        <w:rPr>
          <w:rFonts w:ascii="Cambria" w:hAnsi="Cambria" w:hint="default"/>
          <w:b w:val="1"/>
          <w:bCs w:val="1"/>
          <w:rtl w:val="0"/>
          <w:lang w:val="en-US"/>
          <w14:textOutline w14:w="12700" w14:cap="flat">
            <w14:noFill/>
            <w14:miter w14:lim="400000"/>
          </w14:textOutline>
        </w:rPr>
        <w:t>ć</w:t>
      </w:r>
      <w:r>
        <w:rPr>
          <w:rFonts w:ascii="Cambria" w:hAnsi="Cambria"/>
          <w:b w:val="1"/>
          <w:bCs w:val="1"/>
          <w:rtl w:val="0"/>
          <w:lang w:val="en-US"/>
          <w14:textOutline w14:w="12700" w14:cap="flat">
            <w14:noFill/>
            <w14:miter w14:lim="400000"/>
          </w14:textOutline>
        </w:rPr>
        <w:t>enje sprovo</w:t>
      </w:r>
      <w:r>
        <w:rPr>
          <w:rFonts w:ascii="Cambria" w:hAnsi="Cambria" w:hint="default"/>
          <w:b w:val="1"/>
          <w:bCs w:val="1"/>
          <w:rtl w:val="0"/>
          <w:lang w:val="en-US"/>
          <w14:textOutline w14:w="12700" w14:cap="flat">
            <w14:noFill/>
            <w14:miter w14:lim="400000"/>
          </w14:textOutline>
        </w:rPr>
        <w:t>đ</w:t>
      </w:r>
      <w:r>
        <w:rPr>
          <w:rFonts w:ascii="Cambria" w:hAnsi="Cambria"/>
          <w:b w:val="1"/>
          <w:bCs w:val="1"/>
          <w:rtl w:val="0"/>
          <w:lang w:val="en-US"/>
          <w14:textOutline w14:w="12700" w14:cap="flat">
            <w14:noFill/>
            <w14:miter w14:lim="400000"/>
          </w14:textOutline>
        </w:rPr>
        <w:t>enja Akcionog plana</w:t>
      </w:r>
    </w:p>
    <w:p>
      <w:pPr>
        <w:pStyle w:val="Body C"/>
        <w:jc w:val="both"/>
        <w:rPr>
          <w:rFonts w:ascii="Cambria" w:cs="Cambria" w:hAnsi="Cambria" w:eastAsia="Cambria"/>
        </w:rPr>
      </w:pPr>
    </w:p>
    <w:p>
      <w:pPr>
        <w:pStyle w:val="Body C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>____________________________ (</w:t>
      </w:r>
      <w:r>
        <w:rPr>
          <w:rFonts w:ascii="Cambria" w:hAnsi="Cambria"/>
          <w:i w:val="1"/>
          <w:iCs w:val="1"/>
          <w:rtl w:val="0"/>
          <w:lang w:val="en-US"/>
        </w:rPr>
        <w:t>navesti ko</w:t>
      </w:r>
      <w:r>
        <w:rPr>
          <w:rFonts w:ascii="Cambria" w:hAnsi="Cambria"/>
          <w:rtl w:val="0"/>
          <w:lang w:val="en-US"/>
        </w:rPr>
        <w:t xml:space="preserve">) 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>e obrazovati Radnu grupu za pra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>enje sprovo</w:t>
      </w:r>
      <w:r>
        <w:rPr>
          <w:rFonts w:ascii="Cambria" w:hAnsi="Cambria" w:hint="default"/>
          <w:rtl w:val="0"/>
          <w:lang w:val="en-US"/>
        </w:rPr>
        <w:t>đ</w:t>
      </w:r>
      <w:r>
        <w:rPr>
          <w:rFonts w:ascii="Cambria" w:hAnsi="Cambria"/>
          <w:rtl w:val="0"/>
          <w:lang w:val="en-US"/>
        </w:rPr>
        <w:t xml:space="preserve">enja Akcionog plana (u daljem tekstu: Radna grupa). </w:t>
      </w:r>
    </w:p>
    <w:p>
      <w:pPr>
        <w:pStyle w:val="Body C"/>
        <w:jc w:val="both"/>
        <w:rPr>
          <w:rFonts w:ascii="Cambria" w:cs="Cambria" w:hAnsi="Cambria" w:eastAsia="Cambria"/>
        </w:rPr>
      </w:pPr>
    </w:p>
    <w:p>
      <w:pPr>
        <w:pStyle w:val="Body C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>Radna grupa bi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 xml:space="preserve">e sastavljena prvenstveno od 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lanova Savetodavnog tela koje je u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estvovalo u procesu izrade Akcionog plana, kao i od drugih predstavnika lokalnih organa, javnih slu</w:t>
      </w:r>
      <w:r>
        <w:rPr>
          <w:rFonts w:ascii="Cambria" w:hAnsi="Cambria" w:hint="default"/>
          <w:rtl w:val="0"/>
          <w:lang w:val="en-US"/>
        </w:rPr>
        <w:t>ž</w:t>
      </w:r>
      <w:r>
        <w:rPr>
          <w:rFonts w:ascii="Cambria" w:hAnsi="Cambria"/>
          <w:rtl w:val="0"/>
          <w:lang w:val="en-US"/>
        </w:rPr>
        <w:t>bi i drugih organizacija.</w:t>
      </w:r>
    </w:p>
    <w:p>
      <w:pPr>
        <w:pStyle w:val="Body C"/>
        <w:jc w:val="both"/>
        <w:rPr>
          <w:rFonts w:ascii="Cambria" w:cs="Cambria" w:hAnsi="Cambria" w:eastAsia="Cambria"/>
        </w:rPr>
      </w:pPr>
    </w:p>
    <w:p>
      <w:pPr>
        <w:pStyle w:val="Body C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 xml:space="preserve">Radna grupa 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>e pratiti sprovo</w:t>
      </w:r>
      <w:r>
        <w:rPr>
          <w:rFonts w:ascii="Cambria" w:hAnsi="Cambria" w:hint="default"/>
          <w:rtl w:val="0"/>
          <w:lang w:val="en-US"/>
        </w:rPr>
        <w:t>đ</w:t>
      </w:r>
      <w:r>
        <w:rPr>
          <w:rFonts w:ascii="Cambria" w:hAnsi="Cambria"/>
          <w:rtl w:val="0"/>
          <w:lang w:val="en-US"/>
        </w:rPr>
        <w:t>enje Akcipnog plana, pribavljati podatke o realizovanim aktivnostima i ostvarenosti ciljeva i sa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injavati izve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taje o ovim pitanjima, kao i upozoravati na rizike u realizaciji Akcionog plana. </w:t>
      </w:r>
    </w:p>
    <w:p>
      <w:pPr>
        <w:pStyle w:val="Body C"/>
        <w:jc w:val="both"/>
        <w:rPr>
          <w:rFonts w:ascii="Cambria" w:cs="Cambria" w:hAnsi="Cambria" w:eastAsia="Cambria"/>
        </w:rPr>
      </w:pPr>
    </w:p>
    <w:p>
      <w:pPr>
        <w:pStyle w:val="Body C"/>
        <w:jc w:val="both"/>
        <w:rPr>
          <w:rFonts w:ascii="Cambria" w:cs="Cambria" w:hAnsi="Cambria" w:eastAsia="Cambria"/>
        </w:rPr>
      </w:pPr>
      <w:r>
        <w:rPr>
          <w:rFonts w:ascii="Cambria" w:cs="Cambria" w:hAnsi="Cambria" w:eastAsia="Cambria"/>
          <w:rtl w:val="0"/>
        </w:rPr>
        <w:tab/>
        <w:t xml:space="preserve">Radna grupa </w:t>
      </w:r>
      <w:r>
        <w:rPr>
          <w:rFonts w:ascii="Cambria" w:hAnsi="Cambria" w:hint="default"/>
          <w:rtl w:val="0"/>
          <w:lang w:val="en-US"/>
        </w:rPr>
        <w:t>ć</w:t>
      </w:r>
      <w:r>
        <w:rPr>
          <w:rFonts w:ascii="Cambria" w:hAnsi="Cambria"/>
          <w:rtl w:val="0"/>
          <w:lang w:val="en-US"/>
        </w:rPr>
        <w:t>e _______________________________________ (</w:t>
      </w:r>
      <w:r>
        <w:rPr>
          <w:rFonts w:ascii="Cambria" w:hAnsi="Cambria"/>
          <w:i w:val="1"/>
          <w:iCs w:val="1"/>
          <w:rtl w:val="0"/>
          <w:lang w:val="en-US"/>
        </w:rPr>
        <w:t>navesti kome</w:t>
      </w:r>
      <w:r>
        <w:rPr>
          <w:rFonts w:ascii="Cambria" w:hAnsi="Cambria"/>
          <w:rtl w:val="0"/>
          <w:lang w:val="en-US"/>
        </w:rPr>
        <w:t>) podneti najmanje jedan periodi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ni izve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 xml:space="preserve">taj nakon 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est meseci od po</w:t>
      </w:r>
      <w:r>
        <w:rPr>
          <w:rFonts w:ascii="Cambria" w:hAnsi="Cambria" w:hint="default"/>
          <w:rtl w:val="0"/>
          <w:lang w:val="en-US"/>
        </w:rPr>
        <w:t>č</w:t>
      </w:r>
      <w:r>
        <w:rPr>
          <w:rFonts w:ascii="Cambria" w:hAnsi="Cambria"/>
          <w:rtl w:val="0"/>
          <w:lang w:val="en-US"/>
        </w:rPr>
        <w:t>etka relizacije Akcionog plana, vanredne izve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taje po potrebi, kao i zavr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ni izve</w:t>
      </w:r>
      <w:r>
        <w:rPr>
          <w:rFonts w:ascii="Cambria" w:hAnsi="Cambria" w:hint="default"/>
          <w:rtl w:val="0"/>
          <w:lang w:val="en-US"/>
        </w:rPr>
        <w:t>š</w:t>
      </w:r>
      <w:r>
        <w:rPr>
          <w:rFonts w:ascii="Cambria" w:hAnsi="Cambria"/>
          <w:rtl w:val="0"/>
          <w:lang w:val="en-US"/>
        </w:rPr>
        <w:t>taj najkasnije u roku od dva meseca od istema perioca va</w:t>
      </w:r>
      <w:r>
        <w:rPr>
          <w:rFonts w:ascii="Cambria" w:hAnsi="Cambria" w:hint="default"/>
          <w:rtl w:val="0"/>
          <w:lang w:val="en-US"/>
        </w:rPr>
        <w:t>ž</w:t>
      </w:r>
      <w:r>
        <w:rPr>
          <w:rFonts w:ascii="Cambria" w:hAnsi="Cambria"/>
          <w:rtl w:val="0"/>
          <w:lang w:val="en-US"/>
        </w:rPr>
        <w:t>enja Akcionog plana.</w:t>
      </w:r>
    </w:p>
    <w:p>
      <w:pPr>
        <w:pStyle w:val="Body A"/>
        <w:spacing w:line="288" w:lineRule="auto"/>
        <w:jc w:val="both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  <w:r>
        <w:rPr>
          <w:rFonts w:ascii="Cambria" w:hAnsi="Cambria"/>
          <w:b w:val="1"/>
          <w:bCs w:val="1"/>
          <w:rtl w:val="0"/>
          <w:lang w:val="en-US"/>
        </w:rPr>
        <w:t>TABELA AKCIONOG PLANA</w:t>
      </w: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spacing w:line="288" w:lineRule="auto"/>
        <w:jc w:val="center"/>
        <w:rPr>
          <w:rFonts w:ascii="Cambria" w:cs="Cambria" w:hAnsi="Cambria" w:eastAsia="Cambria"/>
          <w:b w:val="1"/>
          <w:bCs w:val="1"/>
        </w:rPr>
      </w:pPr>
    </w:p>
    <w:tbl>
      <w:tblPr>
        <w:tblW w:w="9509" w:type="dxa"/>
        <w:jc w:val="center"/>
        <w:tblInd w:w="54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378"/>
        <w:gridCol w:w="1431"/>
        <w:gridCol w:w="2507"/>
        <w:gridCol w:w="1710"/>
        <w:gridCol w:w="1483"/>
      </w:tblGrid>
      <w:tr>
        <w:tblPrEx>
          <w:shd w:val="clear" w:color="auto" w:fill="ced7e7"/>
        </w:tblPrEx>
        <w:trPr>
          <w:trHeight w:val="2000" w:hRule="atLeast"/>
        </w:trPr>
        <w:tc>
          <w:tcPr>
            <w:tcW w:type="dxa" w:w="9509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</w:rPr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1. specifi</w:t>
            </w:r>
            <w:r>
              <w:rPr>
                <w:rFonts w:ascii="Cambria" w:hAnsi="Cambria" w:hint="default"/>
                <w:b w:val="1"/>
                <w:bCs w:val="1"/>
                <w:shd w:val="nil" w:color="auto" w:fill="auto"/>
                <w:rtl w:val="0"/>
                <w:lang w:val="en-US"/>
              </w:rPr>
              <w:t>č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ni cilj : 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Sistemski odgovor na nasilje u porodici, u skladu sa potrebama komunikacijske dostupnosti.</w:t>
            </w:r>
          </w:p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b w:val="1"/>
                <w:bCs w:val="1"/>
                <w:shd w:val="nil" w:color="auto" w:fill="auto"/>
                <w:rtl w:val="0"/>
              </w:rPr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Indikator: </w:t>
            </w:r>
          </w:p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Ispunjeni preduslovi za odr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ž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ivo obezbe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đ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 xml:space="preserve">ivanje usluge SOS telefon za 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ž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rtve nasilja u porodici</w:t>
            </w:r>
          </w:p>
        </w:tc>
      </w:tr>
      <w:tr>
        <w:tblPrEx>
          <w:shd w:val="clear" w:color="auto" w:fill="ced7e7"/>
        </w:tblPrEx>
        <w:trPr>
          <w:trHeight w:val="1020" w:hRule="atLeast"/>
        </w:trPr>
        <w:tc>
          <w:tcPr>
            <w:tcW w:type="dxa" w:w="23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Mera  </w:t>
            </w:r>
          </w:p>
        </w:tc>
        <w:tc>
          <w:tcPr>
            <w:tcW w:type="dxa" w:w="14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Aktivnosti </w:t>
            </w:r>
          </w:p>
        </w:tc>
        <w:tc>
          <w:tcPr>
            <w:tcW w:type="dxa" w:w="25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Odgovorni realizator mere i u</w:t>
            </w:r>
            <w:r>
              <w:rPr>
                <w:rFonts w:ascii="Cambria" w:hAnsi="Cambria" w:hint="default"/>
                <w:b w:val="1"/>
                <w:bCs w:val="1"/>
                <w:shd w:val="nil" w:color="auto" w:fill="auto"/>
                <w:rtl w:val="0"/>
                <w:lang w:val="en-US"/>
              </w:rPr>
              <w:t>č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esnici u relizaciji mere 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Rok</w:t>
            </w:r>
          </w:p>
        </w:tc>
        <w:tc>
          <w:tcPr>
            <w:tcW w:type="dxa" w:w="14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Potrebni resursi </w:t>
            </w:r>
          </w:p>
        </w:tc>
      </w:tr>
      <w:tr>
        <w:tblPrEx>
          <w:shd w:val="clear" w:color="auto" w:fill="ced7e7"/>
        </w:tblPrEx>
        <w:trPr>
          <w:trHeight w:val="3424" w:hRule="atLeast"/>
        </w:trPr>
        <w:tc>
          <w:tcPr>
            <w:tcW w:type="dxa" w:w="23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1.1. Priklju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>iti se inicijaivi za uspostavljanje usluge SOS telefon kao me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>uop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tinske usluge za Vladi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>in Han, Boslegrad, Trgovi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te, Bujavnovac, Pre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evo</w:t>
            </w:r>
          </w:p>
        </w:tc>
        <w:tc>
          <w:tcPr>
            <w:tcW w:type="dxa" w:w="14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1.1.1. Doneti odluku o uspostavljanju usluge SOS telefon za 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rtve nasilja u porodici kao me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>uop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tinske usluge</w:t>
            </w:r>
          </w:p>
        </w:tc>
        <w:tc>
          <w:tcPr>
            <w:tcW w:type="dxa" w:w="25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OCD iz Bujanovca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CSR Bujanovac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Policija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Osnovno tu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ila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tvo u Bujanovcu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Vi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e tu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ila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tvo u Vranju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E"/>
              <w:widowControl w:val="0"/>
            </w:pPr>
            <w:r>
              <w:rPr>
                <w:u w:color="000000"/>
                <w:shd w:val="nil" w:color="auto" w:fill="auto"/>
                <w:rtl w:val="0"/>
                <w:lang w:val="en-US"/>
              </w:rPr>
              <w:t>3 meseca od usvajanja AP</w:t>
            </w:r>
          </w:p>
        </w:tc>
        <w:tc>
          <w:tcPr>
            <w:tcW w:type="dxa" w:w="14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0" w:hRule="atLeast"/>
        </w:trPr>
        <w:tc>
          <w:tcPr>
            <w:tcW w:type="dxa" w:w="23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1.2. Preduzeti pripremne aktivnosti za oezbe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enje uslge SOS telefon za 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rtve porodi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>nog nasilja na lezicima lokalnog stanpvni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tva (srpskom, albanskom i romskom)</w:t>
            </w:r>
          </w:p>
        </w:tc>
        <w:tc>
          <w:tcPr>
            <w:tcW w:type="dxa" w:w="14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1.2.1. Regrutovati osoblje za pru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anje usuge SOS telefon za 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rtve porodi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>nog nasilja na jezicima lokalnog stanovni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tva</w:t>
            </w:r>
          </w:p>
        </w:tc>
        <w:tc>
          <w:tcPr>
            <w:tcW w:type="dxa" w:w="25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Centar za socijalni rad u Bujanovcu u saradnji sa predstavnicima lokalnih udru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enja i omladinskim aktivistima 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E"/>
              <w:widowControl w:val="0"/>
            </w:pPr>
            <w:r>
              <w:rPr>
                <w:u w:color="000000"/>
                <w:shd w:val="nil" w:color="auto" w:fill="auto"/>
                <w:rtl w:val="0"/>
                <w:lang w:val="en-US"/>
              </w:rPr>
              <w:t>6 meseci od usvajanja AP</w:t>
            </w:r>
          </w:p>
        </w:tc>
        <w:tc>
          <w:tcPr>
            <w:tcW w:type="dxa" w:w="14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240" w:hRule="atLeast"/>
        </w:trPr>
        <w:tc>
          <w:tcPr>
            <w:tcW w:type="dxa" w:w="23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1.2.2. Obezbediti im obuku odabranom osoblju, po akreditovanom programu obuke za SOS telefon za 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rtve porodi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 xml:space="preserve">nog nasilja </w:t>
            </w:r>
          </w:p>
        </w:tc>
        <w:tc>
          <w:tcPr>
            <w:tcW w:type="dxa" w:w="25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Centar za socijalni rad u Bujanovcu (posreduje u odabiru licenciranih trenera koji </w:t>
            </w:r>
            <w:r>
              <w:rPr>
                <w:shd w:val="nil" w:color="auto" w:fill="auto"/>
                <w:rtl w:val="0"/>
                <w:lang w:val="en-US"/>
              </w:rPr>
              <w:t>ć</w:t>
            </w:r>
            <w:r>
              <w:rPr>
                <w:shd w:val="nil" w:color="auto" w:fill="auto"/>
                <w:rtl w:val="0"/>
                <w:lang w:val="en-US"/>
              </w:rPr>
              <w:t>e pri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ati obuku) u saradnji sa SO Bujanovac. Napomena: Udru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enje Romkinja treba da od svog kadra po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 xml:space="preserve">alje 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ene koje </w:t>
            </w:r>
            <w:r>
              <w:rPr>
                <w:shd w:val="nil" w:color="auto" w:fill="auto"/>
                <w:rtl w:val="0"/>
                <w:lang w:val="en-US"/>
              </w:rPr>
              <w:t>ć</w:t>
            </w:r>
            <w:r>
              <w:rPr>
                <w:shd w:val="nil" w:color="auto" w:fill="auto"/>
                <w:rtl w:val="0"/>
                <w:lang w:val="en-US"/>
              </w:rPr>
              <w:t>e zavr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iti obuku za SOS telefon).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E"/>
              <w:widowControl w:val="0"/>
            </w:pPr>
            <w:r>
              <w:rPr>
                <w:u w:color="000000"/>
                <w:shd w:val="nil" w:color="auto" w:fill="auto"/>
                <w:rtl w:val="0"/>
                <w:lang w:val="en-US"/>
              </w:rPr>
              <w:t>Otpo</w:t>
            </w:r>
            <w:r>
              <w:rPr>
                <w:u w:color="000000"/>
                <w:shd w:val="nil" w:color="auto" w:fill="auto"/>
                <w:rtl w:val="0"/>
                <w:lang w:val="en-US"/>
              </w:rPr>
              <w:t>č</w:t>
            </w:r>
            <w:r>
              <w:rPr>
                <w:u w:color="000000"/>
                <w:shd w:val="nil" w:color="auto" w:fill="auto"/>
                <w:rtl w:val="0"/>
                <w:lang w:val="en-US"/>
              </w:rPr>
              <w:t xml:space="preserve">eti obuke 2 meseca od odabira osoblja </w:t>
            </w:r>
          </w:p>
        </w:tc>
        <w:tc>
          <w:tcPr>
            <w:tcW w:type="dxa" w:w="14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3326" w:hRule="atLeast"/>
        </w:trPr>
        <w:tc>
          <w:tcPr>
            <w:tcW w:type="dxa" w:w="23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1.2.3. Obezbediti sredstva u bud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etu lokalne saouprave za uslugu SOS telefon za 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rtve nasilja u porodici </w:t>
            </w:r>
          </w:p>
        </w:tc>
        <w:tc>
          <w:tcPr>
            <w:tcW w:type="dxa" w:w="250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</w:t>
            </w:r>
          </w:p>
        </w:tc>
        <w:tc>
          <w:tcPr>
            <w:tcW w:type="dxa" w:w="17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>Do kraja decembra 2021. godine</w:t>
            </w:r>
          </w:p>
          <w:p>
            <w:pPr>
              <w:pStyle w:val="Body F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(</w:t>
            </w:r>
            <w:r>
              <w:rPr>
                <w:i w:val="1"/>
                <w:iCs w:val="1"/>
                <w:shd w:val="nil" w:color="auto" w:fill="auto"/>
                <w:rtl w:val="0"/>
                <w:lang w:val="en-US"/>
              </w:rPr>
              <w:t>Alternativa: do kraja decembra 2022. godine</w:t>
            </w:r>
            <w:r>
              <w:rPr>
                <w:shd w:val="nil" w:color="auto" w:fill="auto"/>
                <w:rtl w:val="0"/>
                <w:lang w:val="en-US"/>
              </w:rPr>
              <w:t xml:space="preserve">) </w:t>
            </w:r>
          </w:p>
        </w:tc>
        <w:tc>
          <w:tcPr>
            <w:tcW w:type="dxa" w:w="148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ind w:left="432" w:hanging="432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324" w:hanging="324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216" w:hanging="216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08" w:hanging="108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296" w:hanging="1296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188" w:hanging="1188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080" w:hanging="1080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972" w:hanging="972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864" w:hanging="864"/>
        <w:jc w:val="center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756" w:hanging="756"/>
        <w:jc w:val="center"/>
        <w:rPr>
          <w:rFonts w:ascii="Cambria" w:cs="Cambria" w:hAnsi="Cambria" w:eastAsia="Cambria"/>
          <w:b w:val="1"/>
          <w:bCs w:val="1"/>
        </w:rPr>
      </w:pPr>
    </w:p>
    <w:tbl>
      <w:tblPr>
        <w:tblW w:w="8429" w:type="dxa"/>
        <w:jc w:val="left"/>
        <w:tblInd w:w="162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10"/>
        <w:gridCol w:w="1267"/>
        <w:gridCol w:w="1849"/>
        <w:gridCol w:w="1889"/>
        <w:gridCol w:w="1314"/>
      </w:tblGrid>
      <w:tr>
        <w:tblPrEx>
          <w:shd w:val="clear" w:color="auto" w:fill="ced7e7"/>
        </w:tblPrEx>
        <w:trPr>
          <w:trHeight w:val="2840" w:hRule="atLeast"/>
        </w:trPr>
        <w:tc>
          <w:tcPr>
            <w:tcW w:type="dxa" w:w="8429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</w:rPr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2. specifi</w:t>
            </w:r>
            <w:r>
              <w:rPr>
                <w:rFonts w:ascii="Cambria" w:hAnsi="Cambria" w:hint="default"/>
                <w:b w:val="1"/>
                <w:bCs w:val="1"/>
                <w:shd w:val="nil" w:color="auto" w:fill="auto"/>
                <w:rtl w:val="0"/>
                <w:lang w:val="en-US"/>
              </w:rPr>
              <w:t>č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ni cilj : 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Socijalna inkluzija dece iz osetljivih grupa, s fokusom na decu iz siroma</w:t>
            </w:r>
            <w:r>
              <w:rPr>
                <w:rFonts w:ascii="Cambria" w:hAnsi="Cambria" w:hint="default"/>
                <w:b w:val="0"/>
                <w:bCs w:val="0"/>
                <w:shd w:val="nil" w:color="auto" w:fill="auto"/>
                <w:rtl w:val="0"/>
                <w:lang w:val="en-US"/>
              </w:rPr>
              <w:t>š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nih porodica i decu i mlade pripadnike romske zajednice.</w:t>
            </w:r>
          </w:p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b w:val="1"/>
                <w:bCs w:val="1"/>
                <w:shd w:val="nil" w:color="auto" w:fill="auto"/>
                <w:rtl w:val="0"/>
              </w:rPr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Indikatori:</w:t>
            </w:r>
          </w:p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shd w:val="nil" w:color="auto" w:fill="auto"/>
                <w:rtl w:val="0"/>
              </w:rPr>
            </w:pP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 xml:space="preserve">1) Broj ostvarenih kontakata i posete porodici </w:t>
            </w:r>
            <w:r>
              <w:rPr>
                <w:rFonts w:ascii="Cambria" w:cs="Cambria" w:hAnsi="Cambria" w:eastAsia="Cambria"/>
                <w:shd w:val="nil" w:color="auto" w:fill="auto"/>
                <w:lang w:val="en-US"/>
              </w:rPr>
              <w:br w:type="textWrapping"/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 xml:space="preserve">2) Broj dece koja su napustila, prekinukla 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š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 xml:space="preserve">kolovanje </w:t>
            </w: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shd w:val="nil" w:color="auto" w:fill="auto"/>
                <w:rtl w:val="0"/>
              </w:rPr>
            </w:pP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3) Procenat romske dece i mladih koji su zavr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š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ili srednjo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š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 xml:space="preserve">kolsko obrazovanje </w:t>
            </w: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4) Procenat mladih Roma i Romkinja koji su upisali fakultet</w:t>
            </w:r>
            <w:r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  <w:br w:type="textWrapping"/>
            </w:r>
          </w:p>
        </w:tc>
      </w:tr>
      <w:tr>
        <w:tblPrEx>
          <w:shd w:val="clear" w:color="auto" w:fill="ced7e7"/>
        </w:tblPrEx>
        <w:trPr>
          <w:trHeight w:val="1303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Mera  </w:t>
            </w:r>
          </w:p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Aktivnosti </w:t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Odgovorni realizator mere i u</w:t>
            </w:r>
            <w:r>
              <w:rPr>
                <w:rFonts w:ascii="Cambria" w:hAnsi="Cambria" w:hint="default"/>
                <w:b w:val="1"/>
                <w:bCs w:val="1"/>
                <w:shd w:val="nil" w:color="auto" w:fill="auto"/>
                <w:rtl w:val="0"/>
                <w:lang w:val="en-US"/>
              </w:rPr>
              <w:t>č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esnici u relizaciji mere 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Rok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Potrebni resursi </w:t>
            </w:r>
          </w:p>
        </w:tc>
      </w:tr>
      <w:tr>
        <w:tblPrEx>
          <w:shd w:val="clear" w:color="auto" w:fill="ced7e7"/>
        </w:tblPrEx>
        <w:trPr>
          <w:trHeight w:val="5430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2.1. Unaprediti dostupnost i kvalitet osnovnog obrzovanja dece iz osetljivih grupa, s fokusom na decu iz siroma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nih porodica i decu pripadnike romske zajednice</w:t>
            </w:r>
          </w:p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>2.1.1.</w:t>
            </w:r>
          </w:p>
          <w:p>
            <w:pPr>
              <w:pStyle w:val="Body D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ab/>
              <w:t>Rad sa i podr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ka roditeljima i u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 xml:space="preserve">enicima tokom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kolovanja (pomc</w:t>
            </w:r>
            <w:r>
              <w:rPr>
                <w:shd w:val="nil" w:color="auto" w:fill="auto"/>
                <w:rtl w:val="0"/>
                <w:lang w:val="en-US"/>
              </w:rPr>
              <w:t xml:space="preserve">́ </w:t>
            </w:r>
            <w:r>
              <w:rPr>
                <w:shd w:val="nil" w:color="auto" w:fill="auto"/>
                <w:rtl w:val="0"/>
                <w:lang w:val="en-US"/>
              </w:rPr>
              <w:t>u savladavanju gradiva, prevoz, 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ina, dnevni boravak) </w:t>
            </w:r>
            <w:r>
              <w:rPr>
                <w:shd w:val="nil" w:color="auto" w:fill="auto"/>
                <w:lang w:val="en-US"/>
              </w:rPr>
              <w:br w:type="textWrapping"/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u saradnji sa osnovnim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kolama, centrom za socijalni rad i organizacijama civilnog dru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 xml:space="preserve">tva u Bujanovcu 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 xml:space="preserve">Kontinuirano 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830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>2.1.2.</w:t>
            </w:r>
          </w:p>
          <w:p>
            <w:pPr>
              <w:pStyle w:val="Body D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ab/>
              <w:t xml:space="preserve">Obuka nastavnika razredne i predmete nastave i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kolskog osoblja za rad sa uc</w:t>
            </w:r>
            <w:r>
              <w:rPr>
                <w:shd w:val="nil" w:color="auto" w:fill="auto"/>
                <w:rtl w:val="0"/>
                <w:lang w:val="en-US"/>
              </w:rPr>
              <w:t>̌</w:t>
            </w:r>
            <w:r>
              <w:rPr>
                <w:shd w:val="nil" w:color="auto" w:fill="auto"/>
                <w:rtl w:val="0"/>
                <w:lang w:val="en-US"/>
              </w:rPr>
              <w:t xml:space="preserve">enicima romske nacionalnosti </w:t>
            </w:r>
            <w:r>
              <w:rPr>
                <w:shd w:val="nil" w:color="auto" w:fill="auto"/>
                <w:lang w:val="en-US"/>
              </w:rPr>
              <w:br w:type="textWrapping"/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Osnovne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kole u saradnji sa centrom za socijalni rad i organizacijama civilnog dru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 xml:space="preserve">tva u Bujanovcu 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 xml:space="preserve">Kontinuirano 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220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2.1.3. </w:t>
            </w:r>
          </w:p>
          <w:p>
            <w:pPr>
              <w:pStyle w:val="Body F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ab/>
              <w:t>Anga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ovanje dovoljnog broja pedago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 xml:space="preserve">kih asistenata i njihove redovne obuke </w:t>
            </w:r>
            <w:r>
              <w:rPr>
                <w:shd w:val="nil" w:color="auto" w:fill="auto"/>
                <w:lang w:val="en-US"/>
              </w:rPr>
              <w:br w:type="textWrapping"/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u saradnji sa osnovnim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kolama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 xml:space="preserve">Kontinuirano 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7210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2.2. Razviti mere afirmativnih akcija za srednjo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kolsko i fakultetsko obrazovanje romske dece, s ciljem njihove inkluzije.</w:t>
            </w:r>
          </w:p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2.2.1. Doneti odluke o kriterijumima, procedurama za dodelu stipendija za poha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anje srednje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kole romske dece iz siroma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 xml:space="preserve">nijih porodica i fakultetsko obrazovanje mladih Roma i Romkinja </w:t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u saradnji sa Centrom za socijalni rad, srednjim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kolama, Udru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enjem Romkinja Bujanovac i Omladinskim forumom za edukaciju Roma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 xml:space="preserve">Jun 2022. 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000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2.2.2. Doneti odluke o kriterijumima, procedurama za sprovo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>enje tj. dodelu besplatnih ud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benika za osnovnu i srednju 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kolu za decu iz siroma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nih porodica</w:t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SO Bujanovac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 xml:space="preserve">Jun 2022. 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471" w:hRule="atLeast"/>
        </w:trPr>
        <w:tc>
          <w:tcPr>
            <w:tcW w:type="dxa" w:w="211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6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2.2.3. Obezbediti finansijska sredstva za aktivnosti 2.2.1. i 2.2.2.</w:t>
            </w:r>
          </w:p>
        </w:tc>
        <w:tc>
          <w:tcPr>
            <w:tcW w:type="dxa" w:w="184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 A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SO Bujanovac</w:t>
            </w:r>
          </w:p>
        </w:tc>
        <w:tc>
          <w:tcPr>
            <w:tcW w:type="dxa" w:w="188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>Avgust 2022.</w:t>
            </w:r>
          </w:p>
        </w:tc>
        <w:tc>
          <w:tcPr>
            <w:tcW w:type="dxa" w:w="131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ind w:left="1512" w:hanging="1512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404" w:hanging="1404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296" w:hanging="1296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188" w:hanging="1188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1080" w:hanging="1080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972" w:hanging="972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864" w:hanging="864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756" w:hanging="756"/>
        <w:rPr>
          <w:rFonts w:ascii="Cambria" w:cs="Cambria" w:hAnsi="Cambria" w:eastAsia="Cambria"/>
          <w:b w:val="1"/>
          <w:bCs w:val="1"/>
        </w:rPr>
      </w:pPr>
    </w:p>
    <w:p>
      <w:pPr>
        <w:pStyle w:val="Body A"/>
        <w:widowControl w:val="0"/>
        <w:ind w:left="648" w:hanging="648"/>
        <w:jc w:val="both"/>
        <w:rPr>
          <w:rFonts w:ascii="Cambria" w:cs="Cambria" w:hAnsi="Cambria" w:eastAsia="Cambria"/>
        </w:rPr>
      </w:pPr>
    </w:p>
    <w:p>
      <w:pPr>
        <w:pStyle w:val="Body A"/>
        <w:widowControl w:val="0"/>
        <w:ind w:left="648" w:hanging="648"/>
        <w:jc w:val="both"/>
        <w:rPr>
          <w:rFonts w:ascii="Cambria" w:cs="Cambria" w:hAnsi="Cambria" w:eastAsia="Cambria"/>
        </w:rPr>
      </w:pPr>
    </w:p>
    <w:p>
      <w:pPr>
        <w:pStyle w:val="Body A"/>
        <w:widowControl w:val="0"/>
        <w:ind w:left="648" w:hanging="648"/>
        <w:jc w:val="both"/>
        <w:rPr>
          <w:rFonts w:ascii="Cambria" w:cs="Cambria" w:hAnsi="Cambria" w:eastAsia="Cambria"/>
        </w:rPr>
      </w:pPr>
    </w:p>
    <w:p>
      <w:pPr>
        <w:pStyle w:val="Body A"/>
        <w:widowControl w:val="0"/>
        <w:ind w:left="648" w:hanging="648"/>
        <w:jc w:val="both"/>
        <w:rPr>
          <w:rFonts w:ascii="Cambria" w:cs="Cambria" w:hAnsi="Cambria" w:eastAsia="Cambria"/>
        </w:rPr>
      </w:pPr>
    </w:p>
    <w:tbl>
      <w:tblPr>
        <w:tblW w:w="8645" w:type="dxa"/>
        <w:jc w:val="left"/>
        <w:tblInd w:w="108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2162"/>
        <w:gridCol w:w="1301"/>
        <w:gridCol w:w="2279"/>
        <w:gridCol w:w="1554"/>
        <w:gridCol w:w="1349"/>
      </w:tblGrid>
      <w:tr>
        <w:tblPrEx>
          <w:shd w:val="clear" w:color="auto" w:fill="ced7e7"/>
        </w:tblPrEx>
        <w:trPr>
          <w:trHeight w:val="2560" w:hRule="atLeast"/>
        </w:trPr>
        <w:tc>
          <w:tcPr>
            <w:tcW w:type="dxa" w:w="8645"/>
            <w:gridSpan w:val="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d9d9d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</w:rPr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3. specifi</w:t>
            </w:r>
            <w:r>
              <w:rPr>
                <w:rFonts w:ascii="Cambria" w:hAnsi="Cambria" w:hint="default"/>
                <w:b w:val="1"/>
                <w:bCs w:val="1"/>
                <w:shd w:val="nil" w:color="auto" w:fill="auto"/>
                <w:rtl w:val="0"/>
                <w:lang w:val="en-US"/>
              </w:rPr>
              <w:t>č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ni cilj : 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Unapre</w:t>
            </w:r>
            <w:r>
              <w:rPr>
                <w:rFonts w:ascii="Cambria" w:hAnsi="Cambria" w:hint="default"/>
                <w:b w:val="0"/>
                <w:bCs w:val="0"/>
                <w:shd w:val="nil" w:color="auto" w:fill="auto"/>
                <w:rtl w:val="0"/>
                <w:lang w:val="en-US"/>
              </w:rPr>
              <w:t>đ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enje odgovornosti donosilaca odluka i Centra za socijalni rad prema gra</w:t>
            </w:r>
            <w:r>
              <w:rPr>
                <w:rFonts w:ascii="Cambria" w:hAnsi="Cambria" w:hint="default"/>
                <w:b w:val="0"/>
                <w:bCs w:val="0"/>
                <w:shd w:val="nil" w:color="auto" w:fill="auto"/>
                <w:rtl w:val="0"/>
                <w:lang w:val="en-US"/>
              </w:rPr>
              <w:t>đ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anima korisnicima socijalne za</w:t>
            </w:r>
            <w:r>
              <w:rPr>
                <w:rFonts w:ascii="Cambria" w:hAnsi="Cambria" w:hint="default"/>
                <w:b w:val="0"/>
                <w:bCs w:val="0"/>
                <w:shd w:val="nil" w:color="auto" w:fill="auto"/>
                <w:rtl w:val="0"/>
                <w:lang w:val="en-US"/>
              </w:rPr>
              <w:t>š</w:t>
            </w:r>
            <w:r>
              <w:rPr>
                <w:rFonts w:ascii="Cambria" w:hAnsi="Cambria"/>
                <w:b w:val="0"/>
                <w:bCs w:val="0"/>
                <w:shd w:val="nil" w:color="auto" w:fill="auto"/>
                <w:rtl w:val="0"/>
                <w:lang w:val="en-US"/>
              </w:rPr>
              <w:t>tite</w:t>
            </w:r>
          </w:p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b w:val="1"/>
                <w:bCs w:val="1"/>
                <w:shd w:val="nil" w:color="auto" w:fill="auto"/>
                <w:rtl w:val="0"/>
              </w:rPr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Indikatori:</w:t>
            </w:r>
          </w:p>
          <w:p>
            <w:pPr>
              <w:pStyle w:val="Body A"/>
              <w:widowControl w:val="0"/>
              <w:rPr>
                <w:rFonts w:ascii="Cambria" w:cs="Cambria" w:hAnsi="Cambria" w:eastAsia="Cambria"/>
                <w:b w:val="1"/>
                <w:bCs w:val="1"/>
                <w:shd w:val="nil" w:color="auto" w:fill="auto"/>
                <w:lang w:val="en-US"/>
              </w:rPr>
            </w:pP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Fonts w:ascii="Cambria" w:cs="Cambria" w:hAnsi="Cambria" w:eastAsia="Cambria"/>
                <w:shd w:val="nil" w:color="auto" w:fill="auto"/>
                <w:rtl w:val="0"/>
              </w:rPr>
            </w:pP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1) Pove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ć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 xml:space="preserve">an broj korisnika usluga Centra za socijalni rad: </w:t>
            </w:r>
          </w:p>
          <w:p>
            <w:pPr>
              <w:pStyle w:val="Body A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2) Uspostavljen odr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ž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iv sistem za jednokratne pomo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ć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i siroma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š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nim gra</w:t>
            </w:r>
            <w:r>
              <w:rPr>
                <w:rFonts w:ascii="Cambria" w:hAnsi="Cambria" w:hint="default"/>
                <w:shd w:val="nil" w:color="auto" w:fill="auto"/>
                <w:rtl w:val="0"/>
                <w:lang w:val="en-US"/>
              </w:rPr>
              <w:t>đ</w:t>
            </w:r>
            <w:r>
              <w:rPr>
                <w:rFonts w:ascii="Cambria" w:hAnsi="Cambria"/>
                <w:shd w:val="nil" w:color="auto" w:fill="auto"/>
                <w:rtl w:val="0"/>
                <w:lang w:val="en-US"/>
              </w:rPr>
              <w:t>anima</w:t>
            </w:r>
          </w:p>
        </w:tc>
      </w:tr>
      <w:tr>
        <w:tblPrEx>
          <w:shd w:val="clear" w:color="auto" w:fill="ced7e7"/>
        </w:tblPrEx>
        <w:trPr>
          <w:trHeight w:val="1020" w:hRule="atLeast"/>
        </w:trPr>
        <w:tc>
          <w:tcPr>
            <w:tcW w:type="dxa" w:w="2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Mera  </w:t>
            </w:r>
          </w:p>
        </w:tc>
        <w:tc>
          <w:tcPr>
            <w:tcW w:type="dxa" w:w="13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Aktivnosti </w:t>
            </w:r>
          </w:p>
        </w:tc>
        <w:tc>
          <w:tcPr>
            <w:tcW w:type="dxa" w:w="22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Odgovorni realizator mere i u</w:t>
            </w:r>
            <w:r>
              <w:rPr>
                <w:rFonts w:ascii="Cambria" w:hAnsi="Cambria" w:hint="default"/>
                <w:b w:val="1"/>
                <w:bCs w:val="1"/>
                <w:shd w:val="nil" w:color="auto" w:fill="auto"/>
                <w:rtl w:val="0"/>
                <w:lang w:val="en-US"/>
              </w:rPr>
              <w:t>č</w:t>
            </w: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esnici u relizaciji mere 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>Rok</w:t>
            </w:r>
          </w:p>
        </w:tc>
        <w:tc>
          <w:tcPr>
            <w:tcW w:type="dxa" w:w="1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A"/>
              <w:widowControl w:val="0"/>
              <w:jc w:val="center"/>
            </w:pPr>
            <w:r>
              <w:rPr>
                <w:rFonts w:ascii="Cambria" w:hAnsi="Cambria"/>
                <w:b w:val="1"/>
                <w:bCs w:val="1"/>
                <w:shd w:val="nil" w:color="auto" w:fill="auto"/>
                <w:rtl w:val="0"/>
                <w:lang w:val="en-US"/>
              </w:rPr>
              <w:t xml:space="preserve">Potrebni resursi </w:t>
            </w:r>
          </w:p>
        </w:tc>
      </w:tr>
      <w:tr>
        <w:tblPrEx>
          <w:shd w:val="clear" w:color="auto" w:fill="ced7e7"/>
        </w:tblPrEx>
        <w:trPr>
          <w:trHeight w:val="7220" w:hRule="atLeast"/>
        </w:trPr>
        <w:tc>
          <w:tcPr>
            <w:tcW w:type="dxa" w:w="2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3.1. Unaprediti dostupnost, transtarentnost i komunikativnost Centra za socijalni rad u Bujanovcu sa gra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anima i korisnicima usluga </w:t>
            </w:r>
          </w:p>
        </w:tc>
        <w:tc>
          <w:tcPr>
            <w:tcW w:type="dxa" w:w="13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3.1.1. Kreirati i odr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avati web stranicu CSR, sa jasnim, lako razumljivim i korisnim sadr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ajima o poslovima, merama i uslugama koje gra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ani mogu dobiti od ove ustanove, na svim jezicima koji se koriste u Bujanovcu </w:t>
            </w:r>
          </w:p>
        </w:tc>
        <w:tc>
          <w:tcPr>
            <w:tcW w:type="dxa" w:w="22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SO Bujanovac, CSR Bujanovac u saradnji sa i mladima stru</w:t>
            </w:r>
            <w:r>
              <w:rPr>
                <w:shd w:val="nil" w:color="auto" w:fill="auto"/>
                <w:rtl w:val="0"/>
                <w:lang w:val="en-US"/>
              </w:rPr>
              <w:t>č</w:t>
            </w:r>
            <w:r>
              <w:rPr>
                <w:shd w:val="nil" w:color="auto" w:fill="auto"/>
                <w:rtl w:val="0"/>
                <w:lang w:val="en-US"/>
              </w:rPr>
              <w:t>njacima u IT sektoru anga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ovanim u organizacijama civilnog dru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tva u Bujanovcu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E"/>
              <w:widowControl w:val="0"/>
            </w:pPr>
            <w:r>
              <w:rPr>
                <w:u w:color="000000"/>
                <w:shd w:val="nil" w:color="auto" w:fill="auto"/>
                <w:rtl w:val="0"/>
                <w:lang w:val="en-US"/>
              </w:rPr>
              <w:t xml:space="preserve">Jun 2022. godine - dalje kontinuirano </w:t>
            </w:r>
          </w:p>
        </w:tc>
        <w:tc>
          <w:tcPr>
            <w:tcW w:type="dxa" w:w="1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100" w:hRule="atLeast"/>
        </w:trPr>
        <w:tc>
          <w:tcPr>
            <w:tcW w:type="dxa" w:w="2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000000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>3.1.2. Ugraditi lift u Centar za socijalni rad u Bujanovcu</w:t>
            </w:r>
          </w:p>
        </w:tc>
        <w:tc>
          <w:tcPr>
            <w:tcW w:type="dxa" w:w="22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>SO Bujanovac, CSR Bujanovac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Times New Roman" w:cs="Arial Unicode MS" w:hAnsi="Times New Roman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4"/>
                <w:szCs w:val="24"/>
                <w:u w:val="none" w:color="ffffff"/>
                <w:shd w:val="nil" w:color="auto" w:fill="auto"/>
                <w:vertAlign w:val="baseline"/>
                <w:rtl w:val="0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Novembar 2022. </w:t>
            </w:r>
          </w:p>
        </w:tc>
        <w:tc>
          <w:tcPr>
            <w:tcW w:type="dxa" w:w="1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0" w:hRule="atLeast"/>
        </w:trPr>
        <w:tc>
          <w:tcPr>
            <w:tcW w:type="dxa" w:w="2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rFonts w:ascii="Times New Roman" w:hAnsi="Times New Roman"/>
                <w:rtl w:val="0"/>
              </w:rPr>
              <w:t>3.2. Uspostaviti sistem jednokranih pomo</w:t>
            </w:r>
            <w:r>
              <w:rPr>
                <w:rFonts w:ascii="Times New Roman" w:hAnsi="Times New Roman" w:hint="default"/>
                <w:rtl w:val="0"/>
              </w:rPr>
              <w:t>ć</w:t>
            </w:r>
            <w:r>
              <w:rPr>
                <w:rFonts w:ascii="Times New Roman" w:hAnsi="Times New Roman"/>
                <w:rtl w:val="0"/>
              </w:rPr>
              <w:t>i soroma</w:t>
            </w:r>
            <w:r>
              <w:rPr>
                <w:rFonts w:ascii="Times New Roman" w:hAnsi="Times New Roman" w:hint="default"/>
                <w:rtl w:val="0"/>
              </w:rPr>
              <w:t>š</w:t>
            </w:r>
            <w:r>
              <w:rPr>
                <w:rFonts w:ascii="Times New Roman" w:hAnsi="Times New Roman"/>
                <w:rtl w:val="0"/>
              </w:rPr>
              <w:t>nim gra</w:t>
            </w:r>
            <w:r>
              <w:rPr>
                <w:rFonts w:ascii="Times New Roman" w:hAnsi="Times New Roman" w:hint="default"/>
                <w:rtl w:val="0"/>
              </w:rPr>
              <w:t>đ</w:t>
            </w:r>
            <w:r>
              <w:rPr>
                <w:rFonts w:ascii="Times New Roman" w:hAnsi="Times New Roman"/>
                <w:rtl w:val="0"/>
              </w:rPr>
              <w:t>anima</w:t>
            </w:r>
          </w:p>
        </w:tc>
        <w:tc>
          <w:tcPr>
            <w:tcW w:type="dxa" w:w="13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>3.2.1.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Pripremiti pravila, kriterijume i procedure za obezbe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>enje jednokratnih pomo</w:t>
            </w:r>
            <w:r>
              <w:rPr>
                <w:shd w:val="nil" w:color="auto" w:fill="auto"/>
                <w:rtl w:val="0"/>
                <w:lang w:val="en-US"/>
              </w:rPr>
              <w:t>ć</w:t>
            </w:r>
            <w:r>
              <w:rPr>
                <w:shd w:val="nil" w:color="auto" w:fill="auto"/>
                <w:rtl w:val="0"/>
                <w:lang w:val="en-US"/>
              </w:rPr>
              <w:t>i siroma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nim gra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anima </w:t>
            </w:r>
          </w:p>
        </w:tc>
        <w:tc>
          <w:tcPr>
            <w:tcW w:type="dxa" w:w="22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</w:t>
            </w:r>
          </w:p>
          <w:p>
            <w:pPr>
              <w:pStyle w:val="Body D"/>
              <w:widowControl w:val="0"/>
              <w:rPr>
                <w:shd w:val="nil" w:color="auto" w:fill="auto"/>
                <w:lang w:val="en-US"/>
              </w:rPr>
            </w:pP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CSR Bujanovac 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E"/>
              <w:widowControl w:val="0"/>
            </w:pPr>
            <w:r>
              <w:rPr>
                <w:u w:color="000000"/>
                <w:shd w:val="nil" w:color="auto" w:fill="auto"/>
                <w:rtl w:val="0"/>
                <w:lang w:val="en-US"/>
              </w:rPr>
              <w:t xml:space="preserve">Mart 2022. </w:t>
            </w:r>
          </w:p>
        </w:tc>
        <w:tc>
          <w:tcPr>
            <w:tcW w:type="dxa" w:w="1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6610" w:hRule="atLeast"/>
        </w:trPr>
        <w:tc>
          <w:tcPr>
            <w:tcW w:type="dxa" w:w="2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>3.2.2.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Doneti odluku / izmene i dopune odluke o pravima iz oblasti socijalne za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tite sa odredbom o jednokratnoj pomo</w:t>
            </w:r>
            <w:r>
              <w:rPr>
                <w:shd w:val="nil" w:color="auto" w:fill="auto"/>
                <w:rtl w:val="0"/>
                <w:lang w:val="en-US"/>
              </w:rPr>
              <w:t>ć</w:t>
            </w:r>
            <w:r>
              <w:rPr>
                <w:shd w:val="nil" w:color="auto" w:fill="auto"/>
                <w:rtl w:val="0"/>
                <w:lang w:val="en-US"/>
              </w:rPr>
              <w:t>i siroma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nim gra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anima, kriterijumima i procedurama za ostvarenje ovog prava </w:t>
            </w:r>
          </w:p>
        </w:tc>
        <w:tc>
          <w:tcPr>
            <w:tcW w:type="dxa" w:w="22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</w:t>
            </w:r>
          </w:p>
          <w:p>
            <w:pPr>
              <w:pStyle w:val="Body D"/>
              <w:widowControl w:val="0"/>
              <w:rPr>
                <w:shd w:val="nil" w:color="auto" w:fill="auto"/>
                <w:lang w:val="en-US"/>
              </w:rPr>
            </w:pP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CSR Bujanovac 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E"/>
              <w:widowControl w:val="0"/>
            </w:pPr>
            <w:r>
              <w:rPr>
                <w:u w:color="000000"/>
                <w:shd w:val="nil" w:color="auto" w:fill="auto"/>
                <w:rtl w:val="0"/>
                <w:lang w:val="en-US"/>
              </w:rPr>
              <w:t xml:space="preserve">Jun 2022. </w:t>
            </w:r>
          </w:p>
        </w:tc>
        <w:tc>
          <w:tcPr>
            <w:tcW w:type="dxa" w:w="1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4140" w:hRule="atLeast"/>
        </w:trPr>
        <w:tc>
          <w:tcPr>
            <w:tcW w:type="dxa" w:w="216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301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en-US"/>
              </w:rPr>
              <w:t xml:space="preserve">3.2.3. </w:t>
            </w:r>
          </w:p>
          <w:p>
            <w:pPr>
              <w:pStyle w:val="Body D"/>
              <w:widowControl w:val="0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en-US"/>
              </w:rPr>
              <w:t>Doneti odluku o obezbe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>enju sredstava iz bud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>eta SO Bujanovac za jednokratnu pomo</w:t>
            </w:r>
            <w:r>
              <w:rPr>
                <w:shd w:val="nil" w:color="auto" w:fill="auto"/>
                <w:rtl w:val="0"/>
                <w:lang w:val="en-US"/>
              </w:rPr>
              <w:t xml:space="preserve">ć </w:t>
            </w:r>
            <w:r>
              <w:rPr>
                <w:shd w:val="nil" w:color="auto" w:fill="auto"/>
                <w:rtl w:val="0"/>
                <w:lang w:val="en-US"/>
              </w:rPr>
              <w:t>siroma</w:t>
            </w:r>
            <w:r>
              <w:rPr>
                <w:shd w:val="nil" w:color="auto" w:fill="auto"/>
                <w:rtl w:val="0"/>
                <w:lang w:val="en-US"/>
              </w:rPr>
              <w:t>š</w:t>
            </w:r>
            <w:r>
              <w:rPr>
                <w:shd w:val="nil" w:color="auto" w:fill="auto"/>
                <w:rtl w:val="0"/>
                <w:lang w:val="en-US"/>
              </w:rPr>
              <w:t>nim gra</w:t>
            </w:r>
            <w:r>
              <w:rPr>
                <w:shd w:val="nil" w:color="auto" w:fill="auto"/>
                <w:rtl w:val="0"/>
                <w:lang w:val="en-US"/>
              </w:rPr>
              <w:t>đ</w:t>
            </w:r>
            <w:r>
              <w:rPr>
                <w:shd w:val="nil" w:color="auto" w:fill="auto"/>
                <w:rtl w:val="0"/>
                <w:lang w:val="en-US"/>
              </w:rPr>
              <w:t xml:space="preserve">anima </w:t>
            </w:r>
          </w:p>
        </w:tc>
        <w:tc>
          <w:tcPr>
            <w:tcW w:type="dxa" w:w="227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D"/>
              <w:widowControl w:val="0"/>
            </w:pPr>
            <w:r>
              <w:rPr>
                <w:shd w:val="nil" w:color="auto" w:fill="auto"/>
                <w:rtl w:val="0"/>
                <w:lang w:val="en-US"/>
              </w:rPr>
              <w:t xml:space="preserve">SO Bujanovac </w:t>
            </w:r>
          </w:p>
        </w:tc>
        <w:tc>
          <w:tcPr>
            <w:tcW w:type="dxa" w:w="155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 F"/>
            </w:pPr>
            <w:r>
              <w:rPr>
                <w:shd w:val="nil" w:color="auto" w:fill="auto"/>
                <w:rtl w:val="0"/>
                <w:lang w:val="en-US"/>
              </w:rPr>
              <w:t>Novembar 2022. godine (za bud</w:t>
            </w:r>
            <w:r>
              <w:rPr>
                <w:shd w:val="nil" w:color="auto" w:fill="auto"/>
                <w:rtl w:val="0"/>
                <w:lang w:val="en-US"/>
              </w:rPr>
              <w:t>ž</w:t>
            </w:r>
            <w:r>
              <w:rPr>
                <w:shd w:val="nil" w:color="auto" w:fill="auto"/>
                <w:rtl w:val="0"/>
                <w:lang w:val="en-US"/>
              </w:rPr>
              <w:t xml:space="preserve">et za 2023. godinu) </w:t>
            </w:r>
          </w:p>
        </w:tc>
        <w:tc>
          <w:tcPr>
            <w:tcW w:type="dxa" w:w="134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 A"/>
        <w:widowControl w:val="0"/>
        <w:ind w:left="972" w:hanging="972"/>
        <w:rPr>
          <w:rFonts w:ascii="Cambria" w:cs="Cambria" w:hAnsi="Cambria" w:eastAsia="Cambria"/>
        </w:rPr>
      </w:pPr>
    </w:p>
    <w:p>
      <w:pPr>
        <w:pStyle w:val="Body A"/>
        <w:widowControl w:val="0"/>
        <w:ind w:left="864" w:hanging="864"/>
        <w:rPr>
          <w:rFonts w:ascii="Cambria" w:cs="Cambria" w:hAnsi="Cambria" w:eastAsia="Cambria"/>
        </w:rPr>
      </w:pPr>
    </w:p>
    <w:p>
      <w:pPr>
        <w:pStyle w:val="Body A"/>
        <w:widowControl w:val="0"/>
        <w:ind w:left="756" w:hanging="756"/>
        <w:rPr>
          <w:rFonts w:ascii="Cambria" w:cs="Cambria" w:hAnsi="Cambria" w:eastAsia="Cambria"/>
        </w:rPr>
      </w:pPr>
    </w:p>
    <w:p>
      <w:pPr>
        <w:pStyle w:val="Body A"/>
        <w:widowControl w:val="0"/>
        <w:ind w:left="648" w:hanging="648"/>
        <w:jc w:val="both"/>
        <w:rPr>
          <w:rFonts w:ascii="Cambria" w:cs="Cambria" w:hAnsi="Cambria" w:eastAsia="Cambria"/>
        </w:rPr>
      </w:pPr>
    </w:p>
    <w:p>
      <w:pPr>
        <w:pStyle w:val="Body A"/>
        <w:widowControl w:val="0"/>
        <w:ind w:left="648" w:hanging="648"/>
        <w:jc w:val="both"/>
        <w:rPr>
          <w:rFonts w:ascii="Cambria" w:cs="Cambria" w:hAnsi="Cambria" w:eastAsia="Cambria"/>
        </w:rPr>
      </w:pPr>
    </w:p>
    <w:p>
      <w:pPr>
        <w:pStyle w:val="Body A"/>
        <w:widowControl w:val="0"/>
        <w:ind w:left="648" w:hanging="648"/>
        <w:jc w:val="both"/>
      </w:pPr>
      <w:r>
        <w:rPr>
          <w:rFonts w:ascii="Cambria" w:cs="Cambria" w:hAnsi="Cambria" w:eastAsia="Cambria"/>
        </w:rPr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jc w:val="righ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footnotes.xml><?xml version="1.0" encoding="utf-8"?>
<w:footnotes xmlns:w="http://schemas.openxmlformats.org/wordprocessingml/2006/main" xmlns:r="http://schemas.openxmlformats.org/officeDocument/2006/relationships" xmlns:w14="http://schemas.microsoft.com/office/word/2010/wordml" xmlns:wp="http://schemas.openxmlformats.org/drawingml/2006/wordprocessingDrawing" xmlns:m="http://schemas.openxmlformats.org/officeDocument/2006/math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  <w:footnote w:type="continuationNotice" w:id="-2">
    <w:p>
      <w:r>
        <w:t/>
      </w:r>
    </w:p>
  </w:footnote>
  <w:footnote w:id="1">
    <w:p>
      <w:pPr>
        <w:pStyle w:val="Footnote Text"/>
      </w:pPr>
      <w:r>
        <w:rPr>
          <w:vertAlign w:val="superscript"/>
          <w:lang w:val="en-US"/>
        </w:rPr>
        <w:footnoteRef/>
      </w:r>
      <w:r>
        <w:rPr>
          <w:rFonts w:ascii="Times New Roman" w:hAnsi="Times New Roman"/>
          <w:rtl w:val="0"/>
          <w:lang w:val="en-US"/>
        </w:rPr>
        <w:t xml:space="preserve"> "Slu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beni glasnik RS", br. 129/2007, 83/2014 - dr. zakon, 101/2016 - dr. zakon i 47/2018</w:t>
      </w:r>
    </w:p>
  </w:footnote>
  <w:footnote w:id="2">
    <w:p>
      <w:pPr>
        <w:pStyle w:val="Footnote Text"/>
      </w:pPr>
      <w:r>
        <w:rPr>
          <w:vertAlign w:val="superscript"/>
          <w:lang w:val="en-US"/>
        </w:rPr>
        <w:footnoteRef/>
      </w:r>
      <w:r>
        <w:rPr>
          <w:rtl w:val="0"/>
          <w:lang w:val="en-US"/>
        </w:rPr>
        <w:t xml:space="preserve"> </w:t>
      </w:r>
      <w:r>
        <w:rPr>
          <w:rFonts w:ascii="Times New Roman" w:hAnsi="Times New Roman"/>
          <w:rtl w:val="0"/>
          <w:lang w:val="nl-NL"/>
        </w:rPr>
        <w:t>Statut Op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de-DE"/>
        </w:rPr>
        <w:t xml:space="preserve">tine Bujanovac, </w:t>
      </w:r>
      <w:r>
        <w:rPr>
          <w:rFonts w:ascii="Times New Roman" w:hAnsi="Times New Roman"/>
          <w:rtl w:val="0"/>
          <w:lang w:val="en-US"/>
        </w:rPr>
        <w:t>donet od strane Skuo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tine op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 xml:space="preserve">tine Bujanovac na sednici od 16.9.2008. godine </w:t>
      </w:r>
    </w:p>
  </w:footnote>
  <w:footnote w:id="3">
    <w:p>
      <w:pPr>
        <w:pStyle w:val="Footnote Text"/>
        <w:jc w:val="both"/>
      </w:pPr>
      <w:r>
        <w:rPr>
          <w:vertAlign w:val="superscript"/>
          <w:lang w:val="en-US"/>
        </w:rPr>
        <w:footnoteRef/>
      </w:r>
      <w:r>
        <w:rPr>
          <w:rtl w:val="0"/>
          <w:lang w:val="en-US"/>
        </w:rPr>
        <w:t xml:space="preserve"> </w:t>
      </w:r>
      <w:r>
        <w:rPr>
          <w:rtl w:val="1"/>
          <w:lang w:val="ar-SA" w:bidi="ar-SA"/>
        </w:rPr>
        <w:t>“</w:t>
      </w:r>
      <w:r>
        <w:rPr>
          <w:rFonts w:ascii="Times New Roman" w:hAnsi="Times New Roman"/>
          <w:rtl w:val="0"/>
          <w:lang w:val="en-US"/>
        </w:rPr>
        <w:t>Slu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beni glasnik Op</w:t>
      </w:r>
      <w:r>
        <w:rPr>
          <w:rFonts w:ascii="Times New Roman" w:hAnsi="Times New Roman" w:hint="default"/>
          <w:rtl w:val="0"/>
          <w:lang w:val="en-US"/>
        </w:rPr>
        <w:t>š</w:t>
      </w:r>
      <w:r>
        <w:rPr>
          <w:rFonts w:ascii="Times New Roman" w:hAnsi="Times New Roman"/>
          <w:rtl w:val="0"/>
          <w:lang w:val="en-US"/>
        </w:rPr>
        <w:t>tine Bujanovac</w:t>
      </w:r>
      <w:r>
        <w:rPr>
          <w:rFonts w:ascii="Times New Roman" w:hAnsi="Times New Roman" w:hint="default"/>
          <w:rtl w:val="0"/>
          <w:lang w:val="en-US"/>
        </w:rPr>
        <w:t>”</w:t>
      </w:r>
      <w:r>
        <w:rPr>
          <w:rFonts w:ascii="Times New Roman" w:hAnsi="Times New Roman"/>
          <w:rtl w:val="0"/>
          <w:lang w:val="en-US"/>
        </w:rPr>
        <w:t xml:space="preserve">, broj 17. od 30.11.2016. godine </w:t>
      </w:r>
    </w:p>
  </w:footnote>
  <w:footnote w:id="4">
    <w:p>
      <w:pPr>
        <w:pStyle w:val="Footnote Text"/>
      </w:pPr>
      <w:r>
        <w:rPr>
          <w:vertAlign w:val="superscript"/>
          <w:lang w:val="en-US"/>
        </w:rPr>
        <w:footnoteRef/>
      </w:r>
      <w:r>
        <w:rPr>
          <w:rFonts w:cs="Arial Unicode MS" w:eastAsia="Arial Unicode MS"/>
          <w:rtl w:val="0"/>
          <w:lang w:val="en-US"/>
        </w:rPr>
        <w:t xml:space="preserve"> </w:t>
      </w:r>
      <w:r>
        <w:rPr>
          <w:rFonts w:ascii="Times New Roman" w:hAnsi="Times New Roman"/>
          <w:rtl w:val="0"/>
          <w:lang w:val="en-US"/>
        </w:rPr>
        <w:t>"Slu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beni glasnik RS", br. 24/2011</w:t>
      </w:r>
    </w:p>
  </w:footnote>
  <w:footnote w:id="5">
    <w:p>
      <w:pPr>
        <w:pStyle w:val="Footnote Text"/>
      </w:pPr>
      <w:r>
        <w:rPr>
          <w:vertAlign w:val="superscript"/>
          <w:lang w:val="en-US"/>
        </w:rPr>
        <w:footnoteRef/>
      </w:r>
      <w:r>
        <w:rPr>
          <w:rFonts w:ascii="Times New Roman" w:hAnsi="Times New Roman"/>
          <w:rtl w:val="0"/>
          <w:lang w:val="en-US"/>
        </w:rPr>
        <w:t xml:space="preserve"> "Slu</w:t>
      </w:r>
      <w:r>
        <w:rPr>
          <w:rFonts w:ascii="Times New Roman" w:hAnsi="Times New Roman" w:hint="default"/>
          <w:rtl w:val="0"/>
          <w:lang w:val="en-US"/>
        </w:rPr>
        <w:t>ž</w:t>
      </w:r>
      <w:r>
        <w:rPr>
          <w:rFonts w:ascii="Times New Roman" w:hAnsi="Times New Roman"/>
          <w:rtl w:val="0"/>
          <w:lang w:val="en-US"/>
        </w:rPr>
        <w:t>beni glasnik RS", br. 30/2018</w:t>
      </w:r>
    </w:p>
  </w:footnote>
  <w:footnote w:id="6">
    <w:p>
      <w:pPr>
        <w:pStyle w:val="Default"/>
        <w:spacing w:before="0" w:line="240" w:lineRule="auto"/>
        <w:jc w:val="both"/>
      </w:pPr>
      <w:r>
        <w:rPr>
          <w:rStyle w:val="Footnote Anchor"/>
        </w:rPr>
        <w:footnoteRef/>
      </w:r>
      <w:r>
        <w:rPr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  <w:r>
        <w:rPr>
          <w:rFonts w:ascii="Times New Roman" w:hAnsi="Times New Roman"/>
          <w:sz w:val="22"/>
          <w:szCs w:val="22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"Slu</w:t>
      </w:r>
      <w:r>
        <w:rPr>
          <w:rFonts w:ascii="Times New Roman" w:hAnsi="Times New Roman" w:hint="default"/>
          <w:sz w:val="22"/>
          <w:szCs w:val="22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ž</w:t>
      </w:r>
      <w:r>
        <w:rPr>
          <w:rFonts w:ascii="Times New Roman" w:hAnsi="Times New Roman"/>
          <w:sz w:val="22"/>
          <w:szCs w:val="22"/>
          <w:u w:val="none" w:color="000000"/>
          <w:rtl w:val="0"/>
          <w:lang w:val="en-US"/>
          <w14:textOutline w14:w="12700" w14:cap="flat">
            <w14:noFill/>
            <w14:miter w14:lim="400000"/>
          </w14:textOutline>
        </w:rPr>
        <w:t>beni glasnik RS", broj 8 od 8. februara 2019.</w:t>
      </w:r>
    </w:p>
  </w:footnote>
</w:footnotes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footnotePr>
    <w:numFmt w:val="decimal"/>
    <w:numStart w:val="1"/>
    <w:numRestart w:val="continuous"/>
    <w:footnote w:id="-1"/>
    <w:footnote w:id="0"/>
    <w:footnote w:id="-2"/>
  </w:footnotePr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320"/>
        <w:tab w:val="right" w:pos="864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Footnote Text">
    <w:name w:val="Footnote Text"/>
    <w:next w:val="Footnote 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Footnote Anchor">
    <w:name w:val="Footnote Anchor"/>
    <w:rPr>
      <w:vertAlign w:val="superscript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B">
    <w:name w:val="Body B"/>
    <w:next w:val="Body B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Body C">
    <w:name w:val="Body C"/>
    <w:next w:val="Body C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D">
    <w:name w:val="Body D"/>
    <w:next w:val="Body 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E">
    <w:name w:val="Body E"/>
    <w:next w:val="Body 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ffffff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F">
    <w:name w:val="Body F"/>
    <w:next w:val="Body F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D A">
    <w:name w:val="Body D A"/>
    <w:next w:val="Body D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